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4C7" w:rsidRPr="00F93246" w:rsidRDefault="00C6525A" w:rsidP="00C454C7">
      <w:pPr>
        <w:spacing w:line="276" w:lineRule="auto"/>
        <w:jc w:val="both"/>
      </w:pPr>
      <w:r>
        <w:t>Załącznik nr 1a</w:t>
      </w:r>
      <w:bookmarkStart w:id="0" w:name="_GoBack"/>
      <w:bookmarkEnd w:id="0"/>
    </w:p>
    <w:p w:rsidR="00C454C7" w:rsidRPr="00F93246" w:rsidRDefault="00C454C7" w:rsidP="000E3301">
      <w:pPr>
        <w:spacing w:line="276" w:lineRule="auto"/>
        <w:jc w:val="center"/>
      </w:pPr>
    </w:p>
    <w:p w:rsidR="009F2208" w:rsidRPr="00F93246" w:rsidRDefault="009F2208" w:rsidP="000E3301">
      <w:pPr>
        <w:spacing w:line="276" w:lineRule="auto"/>
        <w:jc w:val="center"/>
        <w:rPr>
          <w:b/>
        </w:rPr>
      </w:pPr>
      <w:r w:rsidRPr="00F93246">
        <w:rPr>
          <w:b/>
        </w:rPr>
        <w:t>OPIS PRZEDMIOTU ZAMÓWIENIA</w:t>
      </w:r>
    </w:p>
    <w:p w:rsidR="009C288F" w:rsidRPr="00F93246" w:rsidRDefault="009C288F" w:rsidP="000E3301">
      <w:pPr>
        <w:spacing w:line="276" w:lineRule="auto"/>
        <w:jc w:val="center"/>
      </w:pPr>
      <w:r w:rsidRPr="00F93246">
        <w:rPr>
          <w:b/>
        </w:rPr>
        <w:t>WARUNKI MINIMALNE, JAKIE MUSZĄ SPEŁNIAĆ OFERTY</w:t>
      </w:r>
    </w:p>
    <w:p w:rsidR="00BB1856" w:rsidRPr="00F93246" w:rsidRDefault="00BB1856" w:rsidP="00BB1856">
      <w:pPr>
        <w:spacing w:line="276" w:lineRule="auto"/>
        <w:jc w:val="both"/>
      </w:pPr>
    </w:p>
    <w:p w:rsidR="009F2208" w:rsidRPr="00F93246" w:rsidRDefault="0024567C" w:rsidP="00BB1856">
      <w:pPr>
        <w:spacing w:line="276" w:lineRule="auto"/>
        <w:jc w:val="both"/>
      </w:pPr>
      <w:r w:rsidRPr="00F93246">
        <w:t>Na potrzeby</w:t>
      </w:r>
      <w:r w:rsidR="00BB1856" w:rsidRPr="00F93246">
        <w:t xml:space="preserve"> niniejszego dokumentu przez ubezpieczającego rozumieć się będzie zamawiającego, zaś przez ubezpieczyciela – wykonawcę.</w:t>
      </w:r>
    </w:p>
    <w:p w:rsidR="00BB1856" w:rsidRPr="00F93246" w:rsidRDefault="00BB1856" w:rsidP="00BB1856">
      <w:pPr>
        <w:spacing w:line="276" w:lineRule="auto"/>
        <w:jc w:val="both"/>
      </w:pPr>
    </w:p>
    <w:p w:rsidR="00866F52" w:rsidRPr="00F93246" w:rsidRDefault="00066088" w:rsidP="003D60C0">
      <w:pPr>
        <w:spacing w:line="276" w:lineRule="auto"/>
        <w:jc w:val="both"/>
        <w:rPr>
          <w:b/>
        </w:rPr>
      </w:pPr>
      <w:r w:rsidRPr="00F93246">
        <w:rPr>
          <w:b/>
        </w:rPr>
        <w:t>Część</w:t>
      </w:r>
      <w:r w:rsidR="003D60C0" w:rsidRPr="00F93246">
        <w:rPr>
          <w:b/>
        </w:rPr>
        <w:t xml:space="preserve"> II - </w:t>
      </w:r>
      <w:r w:rsidR="00FF4D33" w:rsidRPr="00F93246">
        <w:rPr>
          <w:b/>
        </w:rPr>
        <w:t>Dobrowolne u</w:t>
      </w:r>
      <w:r w:rsidR="001D1FDB" w:rsidRPr="00F93246">
        <w:rPr>
          <w:b/>
        </w:rPr>
        <w:t>bezpieczenie odpowiedzialności cywilnej w związku z prowadzoną działalnością pozamedyczną i posiadanym mieniem</w:t>
      </w:r>
    </w:p>
    <w:p w:rsidR="003D60C0" w:rsidRPr="00F93246" w:rsidRDefault="003D60C0" w:rsidP="003D60C0">
      <w:pPr>
        <w:spacing w:line="276" w:lineRule="auto"/>
        <w:jc w:val="both"/>
      </w:pPr>
    </w:p>
    <w:p w:rsidR="005C7911" w:rsidRPr="00F93246" w:rsidRDefault="005C7911" w:rsidP="005C7911">
      <w:pPr>
        <w:pStyle w:val="Akapitzlist"/>
        <w:numPr>
          <w:ilvl w:val="3"/>
          <w:numId w:val="32"/>
        </w:numPr>
        <w:spacing w:line="240" w:lineRule="auto"/>
        <w:ind w:left="709"/>
        <w:jc w:val="both"/>
        <w:rPr>
          <w:rFonts w:cs="Arial"/>
          <w:b/>
        </w:rPr>
      </w:pPr>
      <w:r w:rsidRPr="00F93246">
        <w:rPr>
          <w:rFonts w:cs="Arial"/>
          <w:b/>
        </w:rPr>
        <w:t>Wnioskowany zakres ubezpieczenia</w:t>
      </w:r>
    </w:p>
    <w:p w:rsidR="005C7911" w:rsidRPr="00F93246" w:rsidRDefault="00FF4D33" w:rsidP="005C7911">
      <w:pPr>
        <w:spacing w:line="240" w:lineRule="auto"/>
        <w:jc w:val="both"/>
        <w:rPr>
          <w:rFonts w:cs="Arial"/>
        </w:rPr>
      </w:pPr>
      <w:r w:rsidRPr="00F93246">
        <w:rPr>
          <w:rFonts w:cs="Arial"/>
        </w:rPr>
        <w:t>O</w:t>
      </w:r>
      <w:r w:rsidR="005C7911" w:rsidRPr="00F93246">
        <w:rPr>
          <w:rFonts w:cs="Arial"/>
        </w:rPr>
        <w:t>dpowiedzialność cywilna za szkody na osobie lub w mieniu wyrządzone osobom trzecim w związku z posiadanym, użytkowanym</w:t>
      </w:r>
      <w:r w:rsidR="00233472" w:rsidRPr="00F93246">
        <w:rPr>
          <w:rFonts w:cs="Arial"/>
        </w:rPr>
        <w:t>, zarządzanym</w:t>
      </w:r>
      <w:r w:rsidR="005C7911" w:rsidRPr="00F93246">
        <w:rPr>
          <w:rFonts w:cs="Arial"/>
        </w:rPr>
        <w:t xml:space="preserve"> lub administrowanym mieniem oraz prowadzeniem działalności gospodarczej, w tym również szkody wyrządzone na skutek nieumyślności, rażącego niedbalstwa oraz straty, które poszkodowany poniósł, oraz korzyści, które mógłby osiągnąć, gdyby mu szkody nie wyrządzono.</w:t>
      </w:r>
    </w:p>
    <w:p w:rsidR="00FF4D33" w:rsidRPr="00F93246" w:rsidRDefault="00FF4D33" w:rsidP="005C7911">
      <w:pPr>
        <w:spacing w:line="240" w:lineRule="auto"/>
        <w:jc w:val="both"/>
        <w:rPr>
          <w:rFonts w:cs="Arial"/>
        </w:rPr>
      </w:pPr>
    </w:p>
    <w:p w:rsidR="00501171" w:rsidRPr="00F93246" w:rsidRDefault="00CF2866" w:rsidP="005C7911">
      <w:pPr>
        <w:pStyle w:val="Akapitzlist"/>
        <w:numPr>
          <w:ilvl w:val="3"/>
          <w:numId w:val="32"/>
        </w:numPr>
        <w:spacing w:line="240" w:lineRule="auto"/>
        <w:ind w:left="709"/>
        <w:jc w:val="both"/>
        <w:rPr>
          <w:rFonts w:cs="Arial"/>
          <w:b/>
        </w:rPr>
      </w:pPr>
      <w:r w:rsidRPr="00F93246">
        <w:rPr>
          <w:rFonts w:cs="Arial"/>
          <w:b/>
        </w:rPr>
        <w:t>Suma gwarancyjna</w:t>
      </w:r>
    </w:p>
    <w:p w:rsidR="00501171" w:rsidRPr="00F93246" w:rsidRDefault="00172806" w:rsidP="00501171">
      <w:pPr>
        <w:spacing w:line="240" w:lineRule="auto"/>
        <w:jc w:val="both"/>
        <w:rPr>
          <w:rFonts w:cs="Arial"/>
        </w:rPr>
      </w:pPr>
      <w:r w:rsidRPr="00F93246">
        <w:rPr>
          <w:rFonts w:cs="Arial"/>
        </w:rPr>
        <w:t>5</w:t>
      </w:r>
      <w:r w:rsidR="003F6F03" w:rsidRPr="00F93246">
        <w:rPr>
          <w:rFonts w:cs="Arial"/>
        </w:rPr>
        <w:t>00 000 zł na jedno i wszystkie zdarzenia w okresie ubezpieczenia.</w:t>
      </w:r>
    </w:p>
    <w:p w:rsidR="00707892" w:rsidRPr="00F93246" w:rsidRDefault="00707892" w:rsidP="00501171">
      <w:pPr>
        <w:spacing w:line="240" w:lineRule="auto"/>
        <w:rPr>
          <w:rFonts w:cs="Arial"/>
          <w:b/>
        </w:rPr>
      </w:pPr>
    </w:p>
    <w:p w:rsidR="00501171" w:rsidRPr="00F93246" w:rsidRDefault="00501171" w:rsidP="005C7911">
      <w:pPr>
        <w:pStyle w:val="Akapitzlist"/>
        <w:numPr>
          <w:ilvl w:val="3"/>
          <w:numId w:val="32"/>
        </w:numPr>
        <w:spacing w:line="240" w:lineRule="auto"/>
        <w:ind w:left="709"/>
        <w:rPr>
          <w:rFonts w:cs="Arial"/>
          <w:b/>
        </w:rPr>
      </w:pPr>
      <w:r w:rsidRPr="00F93246">
        <w:rPr>
          <w:rFonts w:cs="Arial"/>
          <w:b/>
        </w:rPr>
        <w:t>Dodatkowe rozszerzenia</w:t>
      </w:r>
    </w:p>
    <w:p w:rsidR="00501171" w:rsidRPr="00F93246" w:rsidRDefault="00501171" w:rsidP="00707892">
      <w:pPr>
        <w:pStyle w:val="Akapitzlist"/>
        <w:numPr>
          <w:ilvl w:val="0"/>
          <w:numId w:val="48"/>
        </w:numPr>
        <w:spacing w:line="240" w:lineRule="auto"/>
        <w:jc w:val="both"/>
      </w:pPr>
      <w:r w:rsidRPr="00F93246">
        <w:rPr>
          <w:rFonts w:cs="Arial"/>
        </w:rPr>
        <w:t>szkody wyrządzone pracownikom ubezpieczającego, powstałe w następstwie wypadków przy pracy</w:t>
      </w:r>
      <w:r w:rsidR="007A1393" w:rsidRPr="00F93246">
        <w:rPr>
          <w:rFonts w:cs="Arial"/>
        </w:rPr>
        <w:t xml:space="preserve"> (ochrona obejmuje również pracowników zatrudnionych na bazie umów innych, niż umowa o pracę)</w:t>
      </w:r>
      <w:r w:rsidR="000D271C" w:rsidRPr="00F93246">
        <w:rPr>
          <w:rFonts w:cs="Arial"/>
        </w:rPr>
        <w:t>,</w:t>
      </w:r>
    </w:p>
    <w:p w:rsidR="00925CC1" w:rsidRPr="00F93246" w:rsidRDefault="00925CC1" w:rsidP="00925CC1">
      <w:pPr>
        <w:numPr>
          <w:ilvl w:val="0"/>
          <w:numId w:val="48"/>
        </w:numPr>
        <w:spacing w:after="200" w:line="240" w:lineRule="auto"/>
        <w:jc w:val="both"/>
        <w:rPr>
          <w:rFonts w:cs="Arial"/>
        </w:rPr>
      </w:pPr>
      <w:r w:rsidRPr="00F93246">
        <w:rPr>
          <w:rFonts w:cs="Arial"/>
        </w:rPr>
        <w:t>szkody w mieniu pracowników ubezpieczającego (w tym w pojazdach)</w:t>
      </w:r>
      <w:r w:rsidR="000704B4" w:rsidRPr="00F93246">
        <w:rPr>
          <w:rFonts w:cs="Arial"/>
        </w:rPr>
        <w:t xml:space="preserve"> – limit 100 000 zł na jedno i wszystkie zdarzenia w okresie ubezpieczenia,</w:t>
      </w:r>
    </w:p>
    <w:p w:rsidR="00501171" w:rsidRPr="00F93246" w:rsidRDefault="00501171" w:rsidP="00707892">
      <w:pPr>
        <w:numPr>
          <w:ilvl w:val="0"/>
          <w:numId w:val="48"/>
        </w:numPr>
        <w:spacing w:after="200" w:line="240" w:lineRule="auto"/>
        <w:jc w:val="both"/>
        <w:rPr>
          <w:rFonts w:cs="Arial"/>
        </w:rPr>
      </w:pPr>
      <w:r w:rsidRPr="00F93246">
        <w:rPr>
          <w:rFonts w:cs="Arial"/>
        </w:rPr>
        <w:t>szkody powstałe w wyniku niewykonania lub nienależytego wykonania zobowiązania (odpowiedzialność cywilna kontraktowa),</w:t>
      </w:r>
    </w:p>
    <w:p w:rsidR="00501171" w:rsidRPr="00F93246" w:rsidRDefault="00501171" w:rsidP="00707892">
      <w:pPr>
        <w:numPr>
          <w:ilvl w:val="0"/>
          <w:numId w:val="48"/>
        </w:numPr>
        <w:spacing w:after="200" w:line="240" w:lineRule="auto"/>
        <w:jc w:val="both"/>
        <w:rPr>
          <w:rFonts w:cs="Arial"/>
        </w:rPr>
      </w:pPr>
      <w:r w:rsidRPr="00F93246">
        <w:rPr>
          <w:rFonts w:cs="Arial"/>
        </w:rPr>
        <w:t xml:space="preserve">szkody </w:t>
      </w:r>
      <w:r w:rsidR="000E5A17" w:rsidRPr="00F93246">
        <w:rPr>
          <w:rFonts w:cs="Arial"/>
        </w:rPr>
        <w:t>wyrządzone przez podwykonawców</w:t>
      </w:r>
      <w:r w:rsidR="006E41FF" w:rsidRPr="00F93246">
        <w:rPr>
          <w:rFonts w:cs="Arial"/>
        </w:rPr>
        <w:t xml:space="preserve"> i dalszych podwykonawców</w:t>
      </w:r>
      <w:r w:rsidR="000E5A17" w:rsidRPr="00F93246">
        <w:rPr>
          <w:rFonts w:cs="Arial"/>
        </w:rPr>
        <w:t>,</w:t>
      </w:r>
    </w:p>
    <w:p w:rsidR="00501171" w:rsidRPr="00F93246" w:rsidRDefault="00501171" w:rsidP="00707892">
      <w:pPr>
        <w:numPr>
          <w:ilvl w:val="0"/>
          <w:numId w:val="48"/>
        </w:numPr>
        <w:spacing w:after="200" w:line="240" w:lineRule="auto"/>
        <w:jc w:val="both"/>
        <w:rPr>
          <w:rFonts w:cs="Arial"/>
        </w:rPr>
      </w:pPr>
      <w:r w:rsidRPr="00F93246">
        <w:rPr>
          <w:rFonts w:cs="Arial"/>
        </w:rPr>
        <w:t>szkody w mieniu osób trzecich znajdującym się w pieczy, pod dozorem lub kontrolą ubezpieczającego</w:t>
      </w:r>
      <w:r w:rsidR="0045758C" w:rsidRPr="00F93246">
        <w:rPr>
          <w:rFonts w:cs="Arial"/>
        </w:rPr>
        <w:t xml:space="preserve">, w tym w mieniu </w:t>
      </w:r>
      <w:r w:rsidR="006D3F39" w:rsidRPr="00F93246">
        <w:rPr>
          <w:rFonts w:cs="Arial"/>
        </w:rPr>
        <w:t xml:space="preserve">pacjentów </w:t>
      </w:r>
      <w:r w:rsidR="0045758C" w:rsidRPr="00F93246">
        <w:rPr>
          <w:rFonts w:cs="Arial"/>
        </w:rPr>
        <w:t>przechowywanym w depozycie prowadzonym przez ubezpieczającego</w:t>
      </w:r>
      <w:r w:rsidR="005124FD" w:rsidRPr="00F93246">
        <w:rPr>
          <w:rFonts w:cs="Arial"/>
        </w:rPr>
        <w:t xml:space="preserve"> – limit 50 000 zł na jedno i wszystkie zdarzenia w okresie ubezpieczenia</w:t>
      </w:r>
      <w:r w:rsidR="000D271C" w:rsidRPr="00F93246">
        <w:rPr>
          <w:rFonts w:cs="Arial"/>
        </w:rPr>
        <w:t>,</w:t>
      </w:r>
    </w:p>
    <w:p w:rsidR="00501171" w:rsidRPr="00F93246" w:rsidRDefault="00501171" w:rsidP="00707892">
      <w:pPr>
        <w:numPr>
          <w:ilvl w:val="0"/>
          <w:numId w:val="48"/>
        </w:numPr>
        <w:spacing w:after="200" w:line="240" w:lineRule="auto"/>
        <w:jc w:val="both"/>
        <w:rPr>
          <w:rFonts w:cs="Arial"/>
        </w:rPr>
      </w:pPr>
      <w:r w:rsidRPr="00F93246">
        <w:rPr>
          <w:rFonts w:cs="Arial"/>
        </w:rPr>
        <w:t>odpowiedzialność cywilna najemcy w mieniu ruchomym osób trzecich, użytkowanym na podstawie wszelkich tytułów prawnych</w:t>
      </w:r>
      <w:r w:rsidR="000D271C" w:rsidRPr="00F93246">
        <w:rPr>
          <w:rFonts w:cs="Arial"/>
        </w:rPr>
        <w:t>,</w:t>
      </w:r>
    </w:p>
    <w:p w:rsidR="00501171" w:rsidRPr="00F93246" w:rsidRDefault="00501171" w:rsidP="00707892">
      <w:pPr>
        <w:numPr>
          <w:ilvl w:val="0"/>
          <w:numId w:val="48"/>
        </w:numPr>
        <w:spacing w:after="200" w:line="240" w:lineRule="auto"/>
        <w:jc w:val="both"/>
        <w:rPr>
          <w:rFonts w:cs="Arial"/>
        </w:rPr>
      </w:pPr>
      <w:r w:rsidRPr="00F93246">
        <w:rPr>
          <w:rFonts w:cs="Arial"/>
        </w:rPr>
        <w:t>odpowiedzialność cywilna wynajmującego</w:t>
      </w:r>
      <w:r w:rsidR="000D271C" w:rsidRPr="00F93246">
        <w:rPr>
          <w:rFonts w:cs="Arial"/>
        </w:rPr>
        <w:t>,</w:t>
      </w:r>
    </w:p>
    <w:p w:rsidR="00501171" w:rsidRPr="00F93246" w:rsidRDefault="00501171" w:rsidP="00707892">
      <w:pPr>
        <w:numPr>
          <w:ilvl w:val="0"/>
          <w:numId w:val="48"/>
        </w:numPr>
        <w:spacing w:after="200" w:line="240" w:lineRule="auto"/>
        <w:jc w:val="both"/>
        <w:rPr>
          <w:rFonts w:cs="Arial"/>
        </w:rPr>
      </w:pPr>
      <w:r w:rsidRPr="00F93246">
        <w:rPr>
          <w:rFonts w:cs="Arial"/>
        </w:rPr>
        <w:lastRenderedPageBreak/>
        <w:t>szkody powstałe w następstwie awarii, działania oraz eksploatacji urządzeń wodociągowych, kanalizacyjnych, centralnego ogrzewania, sieci ciepłowniczej lub technologicznej, systemów przeciwpożarowych, w tym szkody wynikłe z cofnięcia się cieczy w systemach kanalizacyjnych (dotyczy także mienia podmiotów wynajmujących lokale),</w:t>
      </w:r>
    </w:p>
    <w:p w:rsidR="00501171" w:rsidRPr="00F93246" w:rsidRDefault="00501171" w:rsidP="00707892">
      <w:pPr>
        <w:numPr>
          <w:ilvl w:val="0"/>
          <w:numId w:val="48"/>
        </w:numPr>
        <w:spacing w:after="200" w:line="240" w:lineRule="auto"/>
        <w:jc w:val="both"/>
        <w:rPr>
          <w:rFonts w:cs="Arial"/>
        </w:rPr>
      </w:pPr>
      <w:r w:rsidRPr="00F93246">
        <w:rPr>
          <w:rFonts w:cs="Arial"/>
        </w:rPr>
        <w:t>szkody wynikające z utraty, zniszczenia, zaginięcia powierzonych dokumentów oraz ich elektronicznych wersji na nośnikach danych</w:t>
      </w:r>
      <w:r w:rsidR="000D271C" w:rsidRPr="00F93246">
        <w:rPr>
          <w:rFonts w:cs="Arial"/>
        </w:rPr>
        <w:t>, na których były one utrwalone</w:t>
      </w:r>
      <w:r w:rsidR="000704B4" w:rsidRPr="00F93246">
        <w:rPr>
          <w:rFonts w:cs="Arial"/>
        </w:rPr>
        <w:t xml:space="preserve"> – limit 50 000 zł na jedno i wszystkie zdarzenia w okresie ubezpieczenia</w:t>
      </w:r>
      <w:r w:rsidR="000D271C" w:rsidRPr="00F93246">
        <w:rPr>
          <w:rFonts w:cs="Arial"/>
        </w:rPr>
        <w:t>,</w:t>
      </w:r>
    </w:p>
    <w:p w:rsidR="00E77B37" w:rsidRPr="00F93246" w:rsidRDefault="00E77B37" w:rsidP="00707892">
      <w:pPr>
        <w:numPr>
          <w:ilvl w:val="0"/>
          <w:numId w:val="48"/>
        </w:numPr>
        <w:spacing w:after="200" w:line="240" w:lineRule="auto"/>
        <w:jc w:val="both"/>
        <w:rPr>
          <w:rFonts w:cs="Arial"/>
        </w:rPr>
      </w:pPr>
      <w:r w:rsidRPr="00F93246">
        <w:rPr>
          <w:rFonts w:cs="Arial"/>
        </w:rPr>
        <w:t>szkody wyrządzone osobie trzeciej przez producenta w związku z wprowadzeniem do obrotu produktów (OC za produkt),</w:t>
      </w:r>
    </w:p>
    <w:p w:rsidR="00501171" w:rsidRPr="00F93246" w:rsidRDefault="00501171" w:rsidP="00707892">
      <w:pPr>
        <w:numPr>
          <w:ilvl w:val="0"/>
          <w:numId w:val="48"/>
        </w:numPr>
        <w:spacing w:after="200" w:line="240" w:lineRule="auto"/>
        <w:jc w:val="both"/>
        <w:rPr>
          <w:rFonts w:cs="Arial"/>
        </w:rPr>
      </w:pPr>
      <w:r w:rsidRPr="00F93246">
        <w:rPr>
          <w:rFonts w:cs="Arial"/>
        </w:rPr>
        <w:t>szkody wyrządzone w środowisku naturalnym przez jego zanieczyszczenie. Odszkodowanie z tego tytułu obejmuje również koszty prewencji, oceny, minimalizacji stopnia zanieczyszczenia, rekultywacji gleby, czyszczenia i utylizacji wszelkich zanieczyszczeń</w:t>
      </w:r>
      <w:r w:rsidR="000704B4" w:rsidRPr="00F93246">
        <w:rPr>
          <w:rFonts w:cs="Arial"/>
        </w:rPr>
        <w:t xml:space="preserve"> – limit 200 000 zł na jedno i wszystkie zdarzenia w okresie ubezpieczenia,</w:t>
      </w:r>
    </w:p>
    <w:p w:rsidR="006E41FF" w:rsidRPr="00F93246" w:rsidRDefault="006E41FF" w:rsidP="006E41FF">
      <w:pPr>
        <w:numPr>
          <w:ilvl w:val="0"/>
          <w:numId w:val="48"/>
        </w:numPr>
        <w:spacing w:after="200" w:line="240" w:lineRule="auto"/>
        <w:jc w:val="both"/>
        <w:rPr>
          <w:rFonts w:cs="Arial"/>
        </w:rPr>
      </w:pPr>
      <w:r w:rsidRPr="00F93246">
        <w:rPr>
          <w:rFonts w:cs="Arial"/>
        </w:rPr>
        <w:t>szkody w wyniku przeprowadzenia imprezy niemającej charakteru imprezy masowej, podlegającej ubezpieczeniu obowiązkowemu (ochrona ubezpieczeniowa obejmuje także szkody na osobie, wyrządzone pracownikom w związku z organizacją imprezy)</w:t>
      </w:r>
      <w:r w:rsidR="000704B4" w:rsidRPr="00F93246">
        <w:rPr>
          <w:rFonts w:cs="Arial"/>
        </w:rPr>
        <w:t xml:space="preserve"> – limit 50 000 zł na jedno i wszystkie zdarzenia w okresie ubezpieczenia</w:t>
      </w:r>
      <w:r w:rsidRPr="00F93246">
        <w:rPr>
          <w:rFonts w:cs="Arial"/>
        </w:rPr>
        <w:t>,</w:t>
      </w:r>
    </w:p>
    <w:p w:rsidR="00501171" w:rsidRPr="00F93246" w:rsidRDefault="00501171" w:rsidP="00707892">
      <w:pPr>
        <w:numPr>
          <w:ilvl w:val="0"/>
          <w:numId w:val="48"/>
        </w:numPr>
        <w:spacing w:after="200" w:line="240" w:lineRule="auto"/>
        <w:jc w:val="both"/>
        <w:rPr>
          <w:rFonts w:cs="Arial"/>
        </w:rPr>
      </w:pPr>
      <w:r w:rsidRPr="00F93246">
        <w:rPr>
          <w:rFonts w:cs="Arial"/>
        </w:rPr>
        <w:t xml:space="preserve">szkody wynikłe z </w:t>
      </w:r>
      <w:r w:rsidR="000D271C" w:rsidRPr="00F93246">
        <w:rPr>
          <w:rFonts w:cs="Arial"/>
        </w:rPr>
        <w:t>zatruć pokarmowych</w:t>
      </w:r>
      <w:r w:rsidR="00786CC3">
        <w:rPr>
          <w:rFonts w:cs="Arial"/>
        </w:rPr>
        <w:t xml:space="preserve"> – limit 20</w:t>
      </w:r>
      <w:r w:rsidR="00786CC3" w:rsidRPr="00F93246">
        <w:rPr>
          <w:rFonts w:cs="Arial"/>
        </w:rPr>
        <w:t>0 000 zł na jedno i wszystkie zdarzenia w okresie ubezpieczenia,</w:t>
      </w:r>
    </w:p>
    <w:p w:rsidR="00F2464E" w:rsidRPr="00F93246" w:rsidRDefault="00501171" w:rsidP="00F2464E">
      <w:pPr>
        <w:numPr>
          <w:ilvl w:val="0"/>
          <w:numId w:val="48"/>
        </w:numPr>
        <w:spacing w:after="200" w:line="240" w:lineRule="auto"/>
        <w:jc w:val="both"/>
        <w:rPr>
          <w:rFonts w:cs="Arial"/>
        </w:rPr>
      </w:pPr>
      <w:r w:rsidRPr="00F93246">
        <w:rPr>
          <w:rFonts w:cs="Arial"/>
        </w:rPr>
        <w:t>szkody wyrządzone w związku z administrowaniem i utrzymaniem dróg publicznych, chodników, terenów zielonych i rekreacyjnych, sieci wodnej, kanalizacyjnej</w:t>
      </w:r>
      <w:r w:rsidR="000704B4" w:rsidRPr="00F93246">
        <w:rPr>
          <w:rFonts w:cs="Arial"/>
        </w:rPr>
        <w:t xml:space="preserve"> – limit 50 000 zł na jedno i wszystkie zd</w:t>
      </w:r>
      <w:r w:rsidR="00E265A3">
        <w:rPr>
          <w:rFonts w:cs="Arial"/>
        </w:rPr>
        <w:t>arzenia w okresie ubezpieczenia</w:t>
      </w:r>
      <w:r w:rsidR="00F2464E" w:rsidRPr="00F93246">
        <w:rPr>
          <w:rFonts w:cs="Arial"/>
        </w:rPr>
        <w:t>.</w:t>
      </w:r>
    </w:p>
    <w:p w:rsidR="006D79F5" w:rsidRPr="00F93246" w:rsidRDefault="00F2464E" w:rsidP="00F2464E">
      <w:pPr>
        <w:spacing w:after="200" w:line="240" w:lineRule="auto"/>
        <w:jc w:val="both"/>
        <w:rPr>
          <w:rFonts w:cs="Arial"/>
        </w:rPr>
      </w:pPr>
      <w:r w:rsidRPr="00F93246">
        <w:rPr>
          <w:rFonts w:cs="Arial"/>
        </w:rPr>
        <w:t xml:space="preserve"> </w:t>
      </w:r>
    </w:p>
    <w:p w:rsidR="00501171" w:rsidRPr="00F93246" w:rsidRDefault="00501171" w:rsidP="004C6E3C">
      <w:pPr>
        <w:pStyle w:val="Akapitzlist"/>
        <w:numPr>
          <w:ilvl w:val="3"/>
          <w:numId w:val="32"/>
        </w:numPr>
        <w:spacing w:line="240" w:lineRule="auto"/>
        <w:ind w:left="709"/>
        <w:jc w:val="both"/>
        <w:rPr>
          <w:rFonts w:cs="Arial"/>
          <w:b/>
        </w:rPr>
      </w:pPr>
      <w:r w:rsidRPr="00F93246">
        <w:rPr>
          <w:rFonts w:cs="Arial"/>
          <w:b/>
        </w:rPr>
        <w:t>Franszyza integralna</w:t>
      </w:r>
    </w:p>
    <w:p w:rsidR="00501171" w:rsidRPr="00F93246" w:rsidRDefault="004C6E3C" w:rsidP="00501171">
      <w:pPr>
        <w:spacing w:line="240" w:lineRule="auto"/>
        <w:jc w:val="both"/>
        <w:rPr>
          <w:rFonts w:cs="Arial"/>
        </w:rPr>
      </w:pPr>
      <w:r w:rsidRPr="00F93246">
        <w:rPr>
          <w:rFonts w:cs="Arial"/>
        </w:rPr>
        <w:t>Brak.</w:t>
      </w:r>
    </w:p>
    <w:p w:rsidR="00501171" w:rsidRPr="00F93246" w:rsidRDefault="00501171" w:rsidP="00501171">
      <w:pPr>
        <w:spacing w:line="240" w:lineRule="auto"/>
        <w:jc w:val="both"/>
        <w:rPr>
          <w:rFonts w:cs="Arial"/>
        </w:rPr>
      </w:pPr>
    </w:p>
    <w:p w:rsidR="00501171" w:rsidRPr="00F93246" w:rsidRDefault="00501171" w:rsidP="00FB5B6B">
      <w:pPr>
        <w:pStyle w:val="Akapitzlist"/>
        <w:numPr>
          <w:ilvl w:val="3"/>
          <w:numId w:val="32"/>
        </w:numPr>
        <w:spacing w:line="240" w:lineRule="auto"/>
        <w:ind w:left="709"/>
        <w:jc w:val="both"/>
        <w:rPr>
          <w:rFonts w:cs="Arial"/>
          <w:b/>
        </w:rPr>
      </w:pPr>
      <w:r w:rsidRPr="00F93246">
        <w:rPr>
          <w:rFonts w:cs="Arial"/>
          <w:b/>
        </w:rPr>
        <w:t>Franszyza redukcyjna/udział własny</w:t>
      </w:r>
    </w:p>
    <w:p w:rsidR="00501171" w:rsidRPr="00F93246" w:rsidRDefault="00FB5B6B" w:rsidP="00501171">
      <w:pPr>
        <w:spacing w:line="240" w:lineRule="auto"/>
        <w:jc w:val="both"/>
        <w:rPr>
          <w:rFonts w:cs="Arial"/>
        </w:rPr>
      </w:pPr>
      <w:r w:rsidRPr="00F93246">
        <w:rPr>
          <w:rFonts w:cs="Arial"/>
        </w:rPr>
        <w:t>1 000 zł</w:t>
      </w:r>
      <w:r w:rsidR="004E76C1" w:rsidRPr="00F93246">
        <w:rPr>
          <w:rFonts w:cs="Arial"/>
        </w:rPr>
        <w:t xml:space="preserve"> – szkody rzeczowe</w:t>
      </w:r>
      <w:r w:rsidRPr="00F93246">
        <w:rPr>
          <w:rFonts w:cs="Arial"/>
        </w:rPr>
        <w:t>.</w:t>
      </w:r>
    </w:p>
    <w:p w:rsidR="00FB5B6B" w:rsidRPr="00F93246" w:rsidRDefault="00FB5B6B" w:rsidP="00501171">
      <w:pPr>
        <w:spacing w:line="240" w:lineRule="auto"/>
        <w:jc w:val="both"/>
        <w:rPr>
          <w:rFonts w:cs="Arial"/>
        </w:rPr>
      </w:pPr>
      <w:r w:rsidRPr="00F93246">
        <w:rPr>
          <w:rFonts w:cs="Arial"/>
        </w:rPr>
        <w:t>Brak – szkody osobowe</w:t>
      </w:r>
      <w:r w:rsidR="00CE34AD" w:rsidRPr="00F93246">
        <w:rPr>
          <w:rFonts w:cs="Arial"/>
        </w:rPr>
        <w:t>, mienie pracownicze</w:t>
      </w:r>
      <w:r w:rsidR="0081477E" w:rsidRPr="00F93246">
        <w:rPr>
          <w:rFonts w:cs="Arial"/>
        </w:rPr>
        <w:t>, mienie pacjentów</w:t>
      </w:r>
      <w:r w:rsidRPr="00F93246">
        <w:rPr>
          <w:rFonts w:cs="Arial"/>
        </w:rPr>
        <w:t>.</w:t>
      </w:r>
    </w:p>
    <w:p w:rsidR="00501171" w:rsidRPr="00F93246" w:rsidRDefault="00501171" w:rsidP="00501171">
      <w:pPr>
        <w:spacing w:line="240" w:lineRule="auto"/>
        <w:jc w:val="both"/>
        <w:rPr>
          <w:rFonts w:cs="Arial"/>
        </w:rPr>
      </w:pPr>
    </w:p>
    <w:p w:rsidR="00501171" w:rsidRPr="00F93246" w:rsidRDefault="00501171" w:rsidP="00FB5B6B">
      <w:pPr>
        <w:pStyle w:val="Akapitzlist"/>
        <w:numPr>
          <w:ilvl w:val="3"/>
          <w:numId w:val="32"/>
        </w:numPr>
        <w:spacing w:line="240" w:lineRule="auto"/>
        <w:ind w:left="709"/>
        <w:jc w:val="both"/>
        <w:rPr>
          <w:rFonts w:cs="Arial"/>
          <w:b/>
        </w:rPr>
      </w:pPr>
      <w:r w:rsidRPr="00F93246">
        <w:rPr>
          <w:rFonts w:cs="Arial"/>
          <w:b/>
        </w:rPr>
        <w:t>Zakres terytorialny</w:t>
      </w:r>
    </w:p>
    <w:p w:rsidR="00501171" w:rsidRPr="00F93246" w:rsidRDefault="00501171" w:rsidP="00501171">
      <w:pPr>
        <w:spacing w:line="240" w:lineRule="auto"/>
        <w:jc w:val="both"/>
        <w:rPr>
          <w:rFonts w:cs="Arial"/>
        </w:rPr>
      </w:pPr>
      <w:r w:rsidRPr="00F93246">
        <w:rPr>
          <w:rFonts w:cs="Arial"/>
        </w:rPr>
        <w:t>Teren RP.</w:t>
      </w:r>
    </w:p>
    <w:p w:rsidR="00501171" w:rsidRPr="00F93246" w:rsidRDefault="00501171" w:rsidP="00501171">
      <w:pPr>
        <w:spacing w:line="240" w:lineRule="auto"/>
        <w:jc w:val="both"/>
        <w:rPr>
          <w:rFonts w:cs="Arial"/>
        </w:rPr>
      </w:pPr>
    </w:p>
    <w:p w:rsidR="0083068A" w:rsidRPr="00F93246" w:rsidRDefault="0083068A" w:rsidP="004063B6">
      <w:pPr>
        <w:pStyle w:val="Akapitzlist"/>
        <w:numPr>
          <w:ilvl w:val="3"/>
          <w:numId w:val="32"/>
        </w:numPr>
        <w:spacing w:line="240" w:lineRule="auto"/>
        <w:ind w:left="709"/>
        <w:jc w:val="both"/>
        <w:rPr>
          <w:rFonts w:cs="Arial"/>
          <w:b/>
        </w:rPr>
      </w:pPr>
      <w:proofErr w:type="spellStart"/>
      <w:r w:rsidRPr="00F93246">
        <w:rPr>
          <w:rFonts w:cs="Arial"/>
          <w:b/>
        </w:rPr>
        <w:t>Trigger</w:t>
      </w:r>
      <w:proofErr w:type="spellEnd"/>
    </w:p>
    <w:p w:rsidR="00052C7D" w:rsidRPr="00F93246" w:rsidRDefault="00052C7D" w:rsidP="00052C7D">
      <w:pPr>
        <w:spacing w:line="240" w:lineRule="auto"/>
        <w:jc w:val="both"/>
        <w:rPr>
          <w:rFonts w:cs="Arial"/>
        </w:rPr>
      </w:pPr>
      <w:proofErr w:type="spellStart"/>
      <w:r w:rsidRPr="00F93246">
        <w:rPr>
          <w:rFonts w:cs="Arial"/>
        </w:rPr>
        <w:t>Act</w:t>
      </w:r>
      <w:proofErr w:type="spellEnd"/>
      <w:r w:rsidRPr="00F93246">
        <w:rPr>
          <w:rFonts w:cs="Arial"/>
        </w:rPr>
        <w:t xml:space="preserve"> </w:t>
      </w:r>
      <w:proofErr w:type="spellStart"/>
      <w:r w:rsidRPr="00F93246">
        <w:rPr>
          <w:rFonts w:cs="Arial"/>
        </w:rPr>
        <w:t>committed</w:t>
      </w:r>
      <w:proofErr w:type="spellEnd"/>
      <w:r w:rsidRPr="00F93246">
        <w:rPr>
          <w:rFonts w:cs="Arial"/>
        </w:rPr>
        <w:t>.</w:t>
      </w:r>
    </w:p>
    <w:p w:rsidR="0083068A" w:rsidRPr="00F93246" w:rsidRDefault="0083068A" w:rsidP="00501171">
      <w:pPr>
        <w:spacing w:line="240" w:lineRule="auto"/>
        <w:jc w:val="both"/>
        <w:rPr>
          <w:rFonts w:cs="Arial"/>
        </w:rPr>
      </w:pPr>
    </w:p>
    <w:p w:rsidR="00501171" w:rsidRPr="00F93246" w:rsidRDefault="00501171" w:rsidP="00B36AC2">
      <w:pPr>
        <w:pStyle w:val="Akapitzlist"/>
        <w:numPr>
          <w:ilvl w:val="3"/>
          <w:numId w:val="32"/>
        </w:numPr>
        <w:spacing w:line="240" w:lineRule="auto"/>
        <w:ind w:left="709"/>
        <w:jc w:val="both"/>
        <w:rPr>
          <w:rFonts w:cs="Arial"/>
          <w:b/>
        </w:rPr>
      </w:pPr>
      <w:r w:rsidRPr="00F93246">
        <w:rPr>
          <w:rFonts w:cs="Arial"/>
          <w:b/>
        </w:rPr>
        <w:t>Obowiązek informacyjny</w:t>
      </w:r>
    </w:p>
    <w:p w:rsidR="00501171" w:rsidRPr="00F93246" w:rsidRDefault="00501171" w:rsidP="00501171">
      <w:pPr>
        <w:spacing w:line="240" w:lineRule="auto"/>
        <w:jc w:val="both"/>
        <w:rPr>
          <w:rFonts w:cs="Arial"/>
        </w:rPr>
      </w:pPr>
      <w:r w:rsidRPr="00F93246">
        <w:rPr>
          <w:rFonts w:cs="Arial"/>
        </w:rPr>
        <w:lastRenderedPageBreak/>
        <w:t>Ubezpieczyciel niezwłocznie powiadomi ubezpieczającego o każdym roszczeniu z tytułu ubezpieczenia odpowiedzialności cywilnej, które wpłynie bezpośrednio do ubezpieczyciela na podstawie art. 822 § 2 k.c. (</w:t>
      </w:r>
      <w:proofErr w:type="spellStart"/>
      <w:r w:rsidRPr="00F93246">
        <w:rPr>
          <w:rFonts w:cs="Arial"/>
        </w:rPr>
        <w:t>actio</w:t>
      </w:r>
      <w:proofErr w:type="spellEnd"/>
      <w:r w:rsidRPr="00F93246">
        <w:rPr>
          <w:rFonts w:cs="Arial"/>
        </w:rPr>
        <w:t xml:space="preserve"> </w:t>
      </w:r>
      <w:proofErr w:type="spellStart"/>
      <w:r w:rsidRPr="00F93246">
        <w:rPr>
          <w:rFonts w:cs="Arial"/>
        </w:rPr>
        <w:t>directa</w:t>
      </w:r>
      <w:proofErr w:type="spellEnd"/>
      <w:r w:rsidRPr="00F93246">
        <w:rPr>
          <w:rFonts w:cs="Arial"/>
        </w:rPr>
        <w:t>) oraz o każdym odszkodowaniu i/lub zadośćuczynieniu wypłaconym w związku z roszczeniem z tytułu ubezpieczenia odpowiedzialności cywilnej.</w:t>
      </w:r>
    </w:p>
    <w:p w:rsidR="003D60C0" w:rsidRPr="00F93246" w:rsidRDefault="003D60C0" w:rsidP="00501171">
      <w:pPr>
        <w:spacing w:line="240" w:lineRule="auto"/>
        <w:jc w:val="both"/>
        <w:rPr>
          <w:rFonts w:cs="Arial"/>
        </w:rPr>
      </w:pPr>
    </w:p>
    <w:p w:rsidR="00501171" w:rsidRPr="00F93246" w:rsidRDefault="00501171" w:rsidP="00EC1A63">
      <w:pPr>
        <w:pStyle w:val="Akapitzlist"/>
        <w:numPr>
          <w:ilvl w:val="3"/>
          <w:numId w:val="32"/>
        </w:numPr>
        <w:spacing w:line="240" w:lineRule="auto"/>
        <w:ind w:left="709"/>
        <w:jc w:val="both"/>
        <w:rPr>
          <w:rFonts w:cs="Arial"/>
          <w:b/>
        </w:rPr>
      </w:pPr>
      <w:r w:rsidRPr="00F93246">
        <w:rPr>
          <w:rFonts w:cs="Arial"/>
          <w:b/>
        </w:rPr>
        <w:t>Definicje</w:t>
      </w:r>
    </w:p>
    <w:p w:rsidR="00501171" w:rsidRPr="00F93246" w:rsidRDefault="00501171" w:rsidP="00501171">
      <w:pPr>
        <w:spacing w:line="240" w:lineRule="auto"/>
        <w:jc w:val="both"/>
        <w:rPr>
          <w:rFonts w:cs="Arial"/>
        </w:rPr>
      </w:pPr>
      <w:r w:rsidRPr="00F93246">
        <w:rPr>
          <w:rFonts w:cs="Arial"/>
          <w:b/>
        </w:rPr>
        <w:t>Szkoda osobowa</w:t>
      </w:r>
      <w:r w:rsidRPr="00F93246">
        <w:rPr>
          <w:rFonts w:cs="Arial"/>
        </w:rPr>
        <w:t xml:space="preserve"> – szkoda powstała na skutek śmierci, uszkodzenia ciała lub rozstroju zdrowia, w tym także utracone korzyści poszkodowanego, które mógłby osiągnąć, gdyby nie doznał uszkodzenia ciała lub rozstroju zdrowia oraz straty będące w normalnym związku przyczynowym z powołanymi zdarzeniami. W razie wątpliwości uważa się, że szkoda osobowa powstała w chwili, gdy poszkodowany po raz pierwszy skontaktował się z lekarzem w związku z objawami, które były przyczyną roszczenia wobec ubezpieczonego, także wtedy, gdy związek przyczynowy został stwierdzony później.</w:t>
      </w:r>
    </w:p>
    <w:p w:rsidR="00501171" w:rsidRPr="00F93246" w:rsidRDefault="00501171" w:rsidP="00501171">
      <w:pPr>
        <w:spacing w:line="240" w:lineRule="auto"/>
        <w:jc w:val="both"/>
        <w:rPr>
          <w:rFonts w:cs="Arial"/>
        </w:rPr>
      </w:pPr>
    </w:p>
    <w:p w:rsidR="00501171" w:rsidRPr="00F93246" w:rsidRDefault="00501171" w:rsidP="00501171">
      <w:pPr>
        <w:spacing w:line="240" w:lineRule="auto"/>
        <w:jc w:val="both"/>
        <w:rPr>
          <w:rFonts w:cs="Arial"/>
        </w:rPr>
      </w:pPr>
      <w:r w:rsidRPr="00F93246">
        <w:rPr>
          <w:rFonts w:cs="Arial"/>
          <w:b/>
        </w:rPr>
        <w:t>Szkoda rzeczowa</w:t>
      </w:r>
      <w:r w:rsidRPr="00F93246">
        <w:rPr>
          <w:rFonts w:cs="Arial"/>
        </w:rPr>
        <w:t xml:space="preserve"> – szkoda powstała na skutek utraty, zniszczenia lub uszkodzenia rzeczy ruchomej lub nieruchomości, w tym także utracone korzyści poszkodowanego, które mógłby osiągnąć, gdyby nie nastąpiła utrata, zniszczenie lub uszkodzenie rzeczy oraz straty będące w normalnym związku przyczynowym z powołanymi zdarzeniami.</w:t>
      </w:r>
    </w:p>
    <w:p w:rsidR="00501171" w:rsidRPr="00F93246" w:rsidRDefault="00501171" w:rsidP="00501171">
      <w:pPr>
        <w:spacing w:line="240" w:lineRule="auto"/>
        <w:jc w:val="both"/>
        <w:rPr>
          <w:rFonts w:cs="Arial"/>
        </w:rPr>
      </w:pPr>
    </w:p>
    <w:p w:rsidR="00501171" w:rsidRPr="00F93246" w:rsidRDefault="00501171" w:rsidP="00501171">
      <w:pPr>
        <w:spacing w:line="240" w:lineRule="auto"/>
        <w:jc w:val="both"/>
        <w:rPr>
          <w:rFonts w:cs="Arial"/>
        </w:rPr>
      </w:pPr>
      <w:r w:rsidRPr="00F93246">
        <w:rPr>
          <w:rFonts w:cs="Arial"/>
          <w:b/>
        </w:rPr>
        <w:t>Pracownik</w:t>
      </w:r>
      <w:r w:rsidRPr="00F93246">
        <w:rPr>
          <w:rFonts w:cs="Arial"/>
        </w:rPr>
        <w:t xml:space="preserve"> – osoba wykonująca pracę na rzecz pracodawcy niezależnie od podstawy zatrudnienia, m.in. osoba zatrudniona na podstawie umowy o pracę, powołania, wyboru, mianowania, spółdzielczej umowy o pracę lub umowy cywilnoprawnej (o ile opłacana jest przez ubezpieczającego składka na ubezpieczenia społeczne), osoba zatrudniona na podstawie kontraktu menadżerskiego, uczeń</w:t>
      </w:r>
      <w:r w:rsidR="002C61DA" w:rsidRPr="00F93246">
        <w:rPr>
          <w:rFonts w:cs="Arial"/>
        </w:rPr>
        <w:t>, student</w:t>
      </w:r>
      <w:r w:rsidRPr="00F93246">
        <w:rPr>
          <w:rFonts w:cs="Arial"/>
        </w:rPr>
        <w:t>, praktykant, skierowani na praktyki przez szkołę lub uczelnię, stażysta, wolontariusz, członek zarządu (zatrudniony na podstawie innej umowy niż umowa o pracę), pracownik tymczasowy.</w:t>
      </w:r>
    </w:p>
    <w:p w:rsidR="00866F52" w:rsidRPr="00F93246" w:rsidRDefault="00866F52" w:rsidP="000E3301">
      <w:pPr>
        <w:spacing w:line="276" w:lineRule="auto"/>
        <w:jc w:val="both"/>
      </w:pPr>
    </w:p>
    <w:p w:rsidR="00F12892" w:rsidRPr="00F93246" w:rsidRDefault="00F12892" w:rsidP="00AE1E41">
      <w:pPr>
        <w:pStyle w:val="Akapitzlist"/>
        <w:numPr>
          <w:ilvl w:val="3"/>
          <w:numId w:val="32"/>
        </w:numPr>
        <w:spacing w:line="276" w:lineRule="auto"/>
        <w:ind w:left="709"/>
        <w:jc w:val="both"/>
        <w:rPr>
          <w:b/>
        </w:rPr>
      </w:pPr>
      <w:r w:rsidRPr="00F93246">
        <w:rPr>
          <w:b/>
        </w:rPr>
        <w:t>Klauzule dodatkowe</w:t>
      </w:r>
    </w:p>
    <w:p w:rsidR="00F12892" w:rsidRPr="00F93246" w:rsidRDefault="00AA7895" w:rsidP="00F12892">
      <w:pPr>
        <w:spacing w:line="240" w:lineRule="auto"/>
        <w:jc w:val="both"/>
        <w:rPr>
          <w:rFonts w:cs="Arial"/>
        </w:rPr>
      </w:pPr>
      <w:r w:rsidRPr="00F93246">
        <w:rPr>
          <w:rFonts w:cs="Arial"/>
          <w:b/>
        </w:rPr>
        <w:t xml:space="preserve">(3) </w:t>
      </w:r>
      <w:r w:rsidR="00F12892" w:rsidRPr="00F93246">
        <w:rPr>
          <w:rFonts w:cs="Arial"/>
          <w:b/>
        </w:rPr>
        <w:t>Klauzula 72 godzin</w:t>
      </w:r>
      <w:r w:rsidR="00F12892" w:rsidRPr="00F93246">
        <w:rPr>
          <w:rFonts w:cs="Arial"/>
        </w:rPr>
        <w:t xml:space="preserve"> – wszystkie zdarzenia szkodowe powstałe w czasie następujących po sobie 72 godzin na skutek jednej przyczyny traktowane są jako pojedyncza szkoda w odniesieniu do sumy ubezpieczenia, franszyzy redukcyjnej/udziału własnego, franszyzy integralnej określonych w umowie ubezpieczenia.</w:t>
      </w:r>
    </w:p>
    <w:p w:rsidR="00F12892" w:rsidRPr="00F93246" w:rsidRDefault="00F12892" w:rsidP="00F12892">
      <w:pPr>
        <w:spacing w:line="276" w:lineRule="auto"/>
        <w:jc w:val="both"/>
      </w:pPr>
    </w:p>
    <w:p w:rsidR="00F12892" w:rsidRPr="00F93246" w:rsidRDefault="005566D0" w:rsidP="00F12892">
      <w:pPr>
        <w:spacing w:line="240" w:lineRule="auto"/>
        <w:jc w:val="both"/>
        <w:rPr>
          <w:rFonts w:cs="Arial"/>
        </w:rPr>
      </w:pPr>
      <w:r w:rsidRPr="00F93246">
        <w:rPr>
          <w:rFonts w:cs="Arial"/>
          <w:b/>
        </w:rPr>
        <w:t xml:space="preserve">(6) </w:t>
      </w:r>
      <w:r w:rsidR="00F12892" w:rsidRPr="00F93246">
        <w:rPr>
          <w:rFonts w:cs="Arial"/>
          <w:b/>
        </w:rPr>
        <w:t>Klauzula prolongacyjna</w:t>
      </w:r>
      <w:r w:rsidR="00F12892" w:rsidRPr="00F93246">
        <w:rPr>
          <w:rFonts w:cs="Arial"/>
        </w:rPr>
        <w:t xml:space="preserve"> – brak wpłaty składki lub którejkolwiek z rat w terminie przewidzianym w umowie ubezpieczenia nie powoduje wygaśnięcia (rozwiązania) umowy ubezpieczenia ani zawieszenia ochrony ubezpieczeniowej i nie może być podstawą do odstąpienia przez ubezpieczyciela od umowy ubezpieczenia ze skutkiem natychmiastowym. W sytuacji braku opłaty składki lub którejkolwiek z rat ubezpieczyciel zobowiązany jest wyznaczyć ubezpieczającemu na piśmie dodatkowy, co najmniej 14-dniowy termin do zapłaty. W przypadku braku wpłaty mimo wezwania, ubezpieczyciel zawiesza ochronę ubezpieczeniową do momentu opłacenia brakującej składki.</w:t>
      </w:r>
    </w:p>
    <w:p w:rsidR="00F12892" w:rsidRPr="00F93246" w:rsidRDefault="00F12892" w:rsidP="00F12892">
      <w:pPr>
        <w:spacing w:line="240" w:lineRule="auto"/>
        <w:jc w:val="both"/>
        <w:rPr>
          <w:rFonts w:cs="Arial"/>
          <w:b/>
        </w:rPr>
      </w:pPr>
    </w:p>
    <w:p w:rsidR="00F12892" w:rsidRPr="00F93246" w:rsidRDefault="005566D0" w:rsidP="00F12892">
      <w:pPr>
        <w:spacing w:line="240" w:lineRule="auto"/>
        <w:jc w:val="both"/>
        <w:rPr>
          <w:rFonts w:cs="Arial"/>
        </w:rPr>
      </w:pPr>
      <w:r w:rsidRPr="00F93246">
        <w:rPr>
          <w:rFonts w:cs="Arial"/>
          <w:b/>
        </w:rPr>
        <w:t xml:space="preserve">(7) </w:t>
      </w:r>
      <w:r w:rsidR="00F12892" w:rsidRPr="00F93246">
        <w:rPr>
          <w:rFonts w:cs="Arial"/>
          <w:b/>
        </w:rPr>
        <w:t>Klauzula korespondencji elektronicznej</w:t>
      </w:r>
      <w:r w:rsidR="00F12892" w:rsidRPr="00F93246">
        <w:rPr>
          <w:rFonts w:cs="Arial"/>
        </w:rPr>
        <w:t xml:space="preserve"> – zawiadomienia i oświadczenia składane przez strony umowy ubezpieczenia mogą być dostarczane drugiej stronie drogą elektroniczną (certyfikowany podpis elektroniczny nie jest wymagany), za pomocą wiadomości tekstowej SMS, faksu lub telefonu.</w:t>
      </w:r>
    </w:p>
    <w:p w:rsidR="000704B4" w:rsidRPr="00F93246" w:rsidRDefault="000704B4" w:rsidP="00F12892">
      <w:pPr>
        <w:spacing w:line="240" w:lineRule="auto"/>
        <w:jc w:val="both"/>
        <w:rPr>
          <w:rFonts w:cs="Arial"/>
        </w:rPr>
      </w:pPr>
    </w:p>
    <w:p w:rsidR="00F12892" w:rsidRPr="00F93246" w:rsidRDefault="005566D0" w:rsidP="00F12892">
      <w:pPr>
        <w:spacing w:line="240" w:lineRule="auto"/>
        <w:jc w:val="both"/>
        <w:rPr>
          <w:rFonts w:cs="Arial"/>
        </w:rPr>
      </w:pPr>
      <w:r w:rsidRPr="00F93246">
        <w:rPr>
          <w:rFonts w:cs="Arial"/>
          <w:b/>
        </w:rPr>
        <w:lastRenderedPageBreak/>
        <w:t xml:space="preserve">(11) </w:t>
      </w:r>
      <w:r w:rsidR="00F12892" w:rsidRPr="00F93246">
        <w:rPr>
          <w:rFonts w:cs="Arial"/>
          <w:b/>
        </w:rPr>
        <w:t>Klauzula stempla bankowego</w:t>
      </w:r>
      <w:r w:rsidR="00F12892" w:rsidRPr="00F93246">
        <w:rPr>
          <w:rFonts w:cs="Arial"/>
        </w:rPr>
        <w:t xml:space="preserve"> – jeżeli zapłata raty składki lub składki dokonywana jest w formie przelewu bankowego lub przekazu pocztowego, za dzień zapłaty uważa się dzień zlecenia zapłaty w banku lub urzędzie pocztowym.</w:t>
      </w:r>
    </w:p>
    <w:p w:rsidR="0037552A" w:rsidRPr="00F93246" w:rsidRDefault="0037552A" w:rsidP="00F12892">
      <w:pPr>
        <w:spacing w:line="240" w:lineRule="auto"/>
        <w:jc w:val="both"/>
        <w:rPr>
          <w:rFonts w:cs="Arial"/>
        </w:rPr>
      </w:pPr>
    </w:p>
    <w:p w:rsidR="00E31877" w:rsidRPr="00F93246" w:rsidRDefault="00E31877" w:rsidP="00E31877">
      <w:pPr>
        <w:spacing w:line="240" w:lineRule="auto"/>
        <w:jc w:val="both"/>
        <w:rPr>
          <w:rFonts w:cs="Arial"/>
        </w:rPr>
      </w:pPr>
      <w:r w:rsidRPr="00F93246">
        <w:rPr>
          <w:rFonts w:cs="Arial"/>
          <w:b/>
        </w:rPr>
        <w:t>(12) Klauzula zgłaszania wypadku ubezpieczeniowego</w:t>
      </w:r>
      <w:r w:rsidRPr="00F93246">
        <w:rPr>
          <w:rFonts w:cs="Arial"/>
        </w:rPr>
        <w:t xml:space="preserve"> – zawiadomienie ubezpieczyciela o wypadku ubezpieczeniowym winno nastąpić niezwłocznie, nie później jednak niż w ciągu 14 dni od daty jego zajścia lub uzyskania o nim wiadomości, chyba że ogólne warunki ubezpieczenia przewidują dłuższy termin. Zapisane w ogólnych warunkach skutki niezawiadomienia ubezpieczyciela o wypadku ubezpieczeniowym w odpowiednim terminie mają zastosowanie tylko i wyłącznie w sytuacji, kiedy niezawiadomienie w terminie miało wpływ na ustalenie odpowiedzialności ubezpieczyciela i rozmiar szkody. W przypadku, gdy koniec terminu przypada w sobotę lub dzień ustawowo wolny od pracy, termin przedłuża się do pierwszego dnia roboczego po tym dniu. Przy obliczaniu terminu do zawiadomienia nie uwzględnia się dnia zajścia wypadku ubezpieczeniowego lub uzyskania o nim wiadomości.</w:t>
      </w:r>
    </w:p>
    <w:p w:rsidR="00F12892" w:rsidRPr="00F93246" w:rsidRDefault="00F12892" w:rsidP="00F12892">
      <w:pPr>
        <w:spacing w:line="276" w:lineRule="auto"/>
        <w:jc w:val="both"/>
      </w:pPr>
    </w:p>
    <w:p w:rsidR="00F12892" w:rsidRPr="00F93246" w:rsidRDefault="005566D0" w:rsidP="00F12892">
      <w:pPr>
        <w:spacing w:line="240" w:lineRule="auto"/>
        <w:jc w:val="both"/>
        <w:rPr>
          <w:rFonts w:cs="Arial"/>
        </w:rPr>
      </w:pPr>
      <w:r w:rsidRPr="00F93246">
        <w:rPr>
          <w:rFonts w:cs="Arial"/>
          <w:b/>
        </w:rPr>
        <w:t xml:space="preserve">(14) </w:t>
      </w:r>
      <w:r w:rsidR="00F12892" w:rsidRPr="00F93246">
        <w:rPr>
          <w:rFonts w:cs="Arial"/>
          <w:b/>
        </w:rPr>
        <w:t>Klauzula reprezentantów</w:t>
      </w:r>
      <w:r w:rsidR="00F12892" w:rsidRPr="00F93246">
        <w:rPr>
          <w:rFonts w:cs="Arial"/>
        </w:rPr>
        <w:t xml:space="preserve"> – ubezpieczyciel jest wolny od odpowiedzialności za szkody powstałe na skutek winy umyślnej reprezentantów ubezpieczającego, jeżeli szkoda została wyrządzona w związku z pełnieniem funkcji reprezentanta. Za reprezentantów uznaje się osoby lub organ wieloosobowy (zarząd), który uprawniony jest zgodnie z obowiązującymi przepisami lub statutem do zarządzania ubezpieczonym podmiotem, z wyłączeniem prokurentów ustanowionych przez ten podmiot. Niezależnie od powyższych zapisów ochrona obejmuje szkody spowodowane przez wszelkich przedstawicieli ubezpieczającego na skutek rażącego niedbalstwa (dotyczy również reprezentantów).</w:t>
      </w:r>
    </w:p>
    <w:p w:rsidR="00F12892" w:rsidRPr="00F93246" w:rsidRDefault="00F12892" w:rsidP="00F12892">
      <w:pPr>
        <w:spacing w:line="240" w:lineRule="auto"/>
        <w:jc w:val="both"/>
        <w:rPr>
          <w:rFonts w:cs="Arial"/>
        </w:rPr>
      </w:pPr>
    </w:p>
    <w:p w:rsidR="00F12892" w:rsidRPr="00F93246" w:rsidRDefault="005566D0" w:rsidP="00F12892">
      <w:pPr>
        <w:spacing w:line="240" w:lineRule="auto"/>
        <w:jc w:val="both"/>
        <w:rPr>
          <w:rFonts w:cs="Arial"/>
          <w:b/>
        </w:rPr>
      </w:pPr>
      <w:r w:rsidRPr="00F93246">
        <w:rPr>
          <w:rFonts w:cs="Arial"/>
          <w:b/>
        </w:rPr>
        <w:t xml:space="preserve">(18) </w:t>
      </w:r>
      <w:r w:rsidR="00F12892" w:rsidRPr="00F93246">
        <w:rPr>
          <w:rFonts w:cs="Arial"/>
          <w:b/>
        </w:rPr>
        <w:t>Klauzula płatności rat</w:t>
      </w:r>
      <w:r w:rsidR="00F12892" w:rsidRPr="00F93246">
        <w:rPr>
          <w:rFonts w:cs="Arial"/>
        </w:rPr>
        <w:t xml:space="preserve"> – w przypadku wypłaty odszkodowania ubezpieczyciel nie jest uprawniony do potrącenia z kwoty odszkodowania rat jeszcze nie wymagalnych lub też żądania zapłaty pozostałych do końca trwania okresu ubezpieczenia składek. Klauzula nie ma zastosowania w przypadku szkód całkowitych, wyczerpujących sumę ubezpieczenia.</w:t>
      </w:r>
    </w:p>
    <w:p w:rsidR="00F12892" w:rsidRPr="00F93246" w:rsidRDefault="00F12892" w:rsidP="00F12892">
      <w:pPr>
        <w:spacing w:line="240" w:lineRule="auto"/>
        <w:jc w:val="both"/>
        <w:rPr>
          <w:rFonts w:cs="Arial"/>
        </w:rPr>
      </w:pPr>
    </w:p>
    <w:p w:rsidR="00F12892" w:rsidRPr="00F93246" w:rsidRDefault="005566D0" w:rsidP="00F12892">
      <w:pPr>
        <w:spacing w:line="240" w:lineRule="auto"/>
        <w:jc w:val="both"/>
        <w:rPr>
          <w:rFonts w:cs="Arial"/>
        </w:rPr>
      </w:pPr>
      <w:r w:rsidRPr="00F93246">
        <w:rPr>
          <w:rFonts w:cs="Arial"/>
          <w:b/>
        </w:rPr>
        <w:t xml:space="preserve">(29) </w:t>
      </w:r>
      <w:r w:rsidR="00F12892" w:rsidRPr="00F93246">
        <w:rPr>
          <w:rFonts w:cs="Arial"/>
          <w:b/>
        </w:rPr>
        <w:t>Klauzula okolicznościowa</w:t>
      </w:r>
      <w:r w:rsidR="00F12892" w:rsidRPr="00F93246">
        <w:rPr>
          <w:rFonts w:cs="Arial"/>
        </w:rPr>
        <w:t xml:space="preserve"> – ubezpieczyciel zobowiązany jest samodzielnie prowadzić postępowanie zmierzające do wyjaśnienia okoliczności związanych ze szkodą (np.: ustalenie przebiegu zdarzenia, ustalenie osoby sprawcy) i wypłacić należne odszkodowanie zgodnie z ogólnie przyjętymi zasadami, bez konieczności oczekiwania na prawomocne postanowienie właściwego organu, kończące postępowanie w sprawie dotyczącej szkody.</w:t>
      </w:r>
    </w:p>
    <w:p w:rsidR="00F12892" w:rsidRPr="00F93246" w:rsidRDefault="00F12892" w:rsidP="00F12892">
      <w:pPr>
        <w:spacing w:line="240" w:lineRule="auto"/>
        <w:jc w:val="both"/>
        <w:rPr>
          <w:rFonts w:cs="Arial"/>
          <w:b/>
        </w:rPr>
      </w:pPr>
    </w:p>
    <w:p w:rsidR="00F12892" w:rsidRPr="00F93246" w:rsidRDefault="005566D0" w:rsidP="00F12892">
      <w:pPr>
        <w:spacing w:line="240" w:lineRule="auto"/>
        <w:jc w:val="both"/>
        <w:rPr>
          <w:rFonts w:cs="Arial"/>
        </w:rPr>
      </w:pPr>
      <w:r w:rsidRPr="00F93246">
        <w:rPr>
          <w:rFonts w:cs="Arial"/>
          <w:b/>
        </w:rPr>
        <w:t xml:space="preserve">(30) </w:t>
      </w:r>
      <w:r w:rsidR="00F12892" w:rsidRPr="00F93246">
        <w:rPr>
          <w:rFonts w:cs="Arial"/>
          <w:b/>
        </w:rPr>
        <w:t>Klauzula prawa do regresu</w:t>
      </w:r>
      <w:r w:rsidR="00F12892" w:rsidRPr="00F93246">
        <w:rPr>
          <w:rFonts w:cs="Arial"/>
        </w:rPr>
        <w:t xml:space="preserve"> – na ubezpieczyciela przechodzi prawo regresu w stosunku do osoby trzeciej lub osoby, za którą odpowiedzialność ponosi ubezpieczający tylko za zgodą ubezpieczającego. Ubezpieczający udzieli takiej zgody zawsze, gdy szkoda była spowodowana umyślnie. Dotyczy także szkód spowodowanych w trakcie wykonywania obowiązków służbowych przez pracowników ubezpieczającego. Jeżeli ubezpieczający zrzekł się roszczenia przeciwko sprawcy szkody, którym jest ubezpieczony, ubezpieczyciel uzna ten fakt i nie będzie dochodził od niego regresu. Zrzeczenie to nie wpłynie również na zakres i wysokość odszkodowania przysługującego ubezpieczającemu.</w:t>
      </w:r>
    </w:p>
    <w:p w:rsidR="005566D0" w:rsidRPr="00F93246" w:rsidRDefault="005566D0" w:rsidP="00F12892">
      <w:pPr>
        <w:spacing w:line="240" w:lineRule="auto"/>
        <w:jc w:val="both"/>
        <w:rPr>
          <w:rFonts w:cs="Arial"/>
          <w:b/>
        </w:rPr>
      </w:pPr>
    </w:p>
    <w:p w:rsidR="00F12892" w:rsidRPr="00F93246" w:rsidRDefault="005566D0" w:rsidP="00F12892">
      <w:pPr>
        <w:spacing w:line="240" w:lineRule="auto"/>
        <w:jc w:val="both"/>
        <w:rPr>
          <w:rFonts w:cs="Arial"/>
          <w:b/>
        </w:rPr>
      </w:pPr>
      <w:r w:rsidRPr="00F93246">
        <w:rPr>
          <w:rFonts w:cs="Arial"/>
          <w:b/>
        </w:rPr>
        <w:t xml:space="preserve">(37) </w:t>
      </w:r>
      <w:r w:rsidR="00F12892" w:rsidRPr="00F93246">
        <w:rPr>
          <w:rFonts w:cs="Arial"/>
          <w:b/>
        </w:rPr>
        <w:t xml:space="preserve">Klauzula pierwszeństwa warunków ubezpieczenia w stosunku do klauzul </w:t>
      </w:r>
      <w:r w:rsidR="0037552A" w:rsidRPr="00F93246">
        <w:rPr>
          <w:rFonts w:cs="Arial"/>
          <w:b/>
        </w:rPr>
        <w:t>dodatkowych</w:t>
      </w:r>
      <w:r w:rsidR="00F12892" w:rsidRPr="00F93246">
        <w:rPr>
          <w:rFonts w:cs="Arial"/>
        </w:rPr>
        <w:t xml:space="preserve"> – jeżeli warunki ubezpieczenia przewidują zapisy korzystniejsze dla ubezpieczającego niż klauzule </w:t>
      </w:r>
      <w:r w:rsidR="0037552A" w:rsidRPr="00F93246">
        <w:rPr>
          <w:rFonts w:cs="Arial"/>
        </w:rPr>
        <w:t>dodatkowe</w:t>
      </w:r>
      <w:r w:rsidR="00F12892" w:rsidRPr="00F93246">
        <w:rPr>
          <w:rFonts w:cs="Arial"/>
        </w:rPr>
        <w:t>, pierwszeństwo mają warunki ubezpieczenia.</w:t>
      </w:r>
    </w:p>
    <w:p w:rsidR="00F12892" w:rsidRPr="00F93246" w:rsidRDefault="005566D0" w:rsidP="00F12892">
      <w:pPr>
        <w:spacing w:line="240" w:lineRule="auto"/>
        <w:jc w:val="both"/>
        <w:rPr>
          <w:rFonts w:cs="Arial"/>
        </w:rPr>
      </w:pPr>
      <w:r w:rsidRPr="00F93246">
        <w:rPr>
          <w:rFonts w:cs="Arial"/>
          <w:b/>
        </w:rPr>
        <w:lastRenderedPageBreak/>
        <w:t xml:space="preserve">(40) </w:t>
      </w:r>
      <w:r w:rsidR="00F12892" w:rsidRPr="00F93246">
        <w:rPr>
          <w:rFonts w:cs="Arial"/>
          <w:b/>
        </w:rPr>
        <w:t>Klauzula warunków i stawek</w:t>
      </w:r>
      <w:r w:rsidR="00F12892" w:rsidRPr="00F93246">
        <w:rPr>
          <w:rFonts w:cs="Arial"/>
        </w:rPr>
        <w:t xml:space="preserve"> – w przypadku doubezpieczenia, uzupełnienia lub podwyższenia sumy ubezpieczenia/gwarancyjnej lub limitu w okresie ubezpieczenia zastosowanie mieć będą warunki umowy ubezpieczenia oraz stawki obowiązujące w umowie ubezpieczenia w dniu dokonywania zmiany, chyba że zastosowane pierwotnie warunki lub stawki są korzystniejsze dla ubezpieczającego.</w:t>
      </w:r>
    </w:p>
    <w:p w:rsidR="00FF53CC" w:rsidRPr="00F93246" w:rsidRDefault="00FF53CC" w:rsidP="00F12892">
      <w:pPr>
        <w:spacing w:line="240" w:lineRule="auto"/>
        <w:jc w:val="both"/>
        <w:rPr>
          <w:rFonts w:cs="Arial"/>
        </w:rPr>
      </w:pPr>
    </w:p>
    <w:p w:rsidR="00F12892" w:rsidRPr="00F93246" w:rsidRDefault="005566D0" w:rsidP="00F12892">
      <w:pPr>
        <w:spacing w:line="276" w:lineRule="auto"/>
        <w:jc w:val="both"/>
        <w:rPr>
          <w:rFonts w:cs="Arial"/>
        </w:rPr>
      </w:pPr>
      <w:r w:rsidRPr="00F93246">
        <w:rPr>
          <w:rFonts w:cs="Arial"/>
          <w:b/>
        </w:rPr>
        <w:t xml:space="preserve">(50) </w:t>
      </w:r>
      <w:r w:rsidR="00F12892" w:rsidRPr="00F93246">
        <w:rPr>
          <w:rFonts w:cs="Arial"/>
          <w:b/>
        </w:rPr>
        <w:t>Klauzula uznania</w:t>
      </w:r>
      <w:r w:rsidR="00F12892" w:rsidRPr="00F93246">
        <w:rPr>
          <w:rFonts w:cs="Arial"/>
        </w:rPr>
        <w:t xml:space="preserve"> – u</w:t>
      </w:r>
      <w:r w:rsidR="009E0680" w:rsidRPr="00F93246">
        <w:rPr>
          <w:rFonts w:cs="Arial"/>
        </w:rPr>
        <w:t>b</w:t>
      </w:r>
      <w:r w:rsidR="00F12892" w:rsidRPr="00F93246">
        <w:rPr>
          <w:rFonts w:cs="Arial"/>
        </w:rPr>
        <w:t>ezpieczyciel uznaje, że przy zawarciu umowy ubezpieczenia znane mu były wszystkie okoliczności, które są znaczące dla oceny ryzyka.</w:t>
      </w:r>
    </w:p>
    <w:p w:rsidR="005566D0" w:rsidRPr="00F93246" w:rsidRDefault="005566D0" w:rsidP="00F12892">
      <w:pPr>
        <w:spacing w:line="276" w:lineRule="auto"/>
        <w:jc w:val="both"/>
        <w:rPr>
          <w:rFonts w:cs="Arial"/>
          <w:b/>
        </w:rPr>
      </w:pPr>
    </w:p>
    <w:p w:rsidR="00356D79" w:rsidRPr="00F93246" w:rsidRDefault="00FF4D33" w:rsidP="00CE6D4A">
      <w:pPr>
        <w:spacing w:line="240" w:lineRule="auto"/>
        <w:jc w:val="both"/>
        <w:rPr>
          <w:rFonts w:cs="Arial"/>
        </w:rPr>
      </w:pPr>
      <w:r w:rsidRPr="00F93246">
        <w:rPr>
          <w:rFonts w:cs="Arial"/>
          <w:b/>
        </w:rPr>
        <w:t>(95) Klauzula jurysdykcji</w:t>
      </w:r>
      <w:r w:rsidRPr="00F93246">
        <w:rPr>
          <w:rFonts w:cs="Arial"/>
        </w:rPr>
        <w:t xml:space="preserve"> – spory wynikające z umowy ubezpieczenia rozstrzyga sąd powszechny, właściwy dla miejsca zamieszkania lub siedziby ubezpieczającego, uposażonego lub uprawnionego z umowy ubezpieczenia.</w:t>
      </w:r>
    </w:p>
    <w:sectPr w:rsidR="00356D79" w:rsidRPr="00F93246" w:rsidSect="005F4775">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F7A" w:rsidRDefault="009C2F7A" w:rsidP="0097193D">
      <w:pPr>
        <w:spacing w:after="0" w:line="240" w:lineRule="auto"/>
      </w:pPr>
      <w:r>
        <w:separator/>
      </w:r>
    </w:p>
  </w:endnote>
  <w:endnote w:type="continuationSeparator" w:id="0">
    <w:p w:rsidR="009C2F7A" w:rsidRDefault="009C2F7A" w:rsidP="00971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69964225"/>
      <w:docPartObj>
        <w:docPartGallery w:val="Page Numbers (Bottom of Page)"/>
        <w:docPartUnique/>
      </w:docPartObj>
    </w:sdtPr>
    <w:sdtEndPr/>
    <w:sdtContent>
      <w:p w:rsidR="006C27F5" w:rsidRPr="0097193D" w:rsidRDefault="007C218E" w:rsidP="0097193D">
        <w:pPr>
          <w:pStyle w:val="Stopka"/>
          <w:jc w:val="right"/>
          <w:rPr>
            <w:sz w:val="16"/>
            <w:szCs w:val="16"/>
          </w:rPr>
        </w:pPr>
        <w:r w:rsidRPr="0097193D">
          <w:rPr>
            <w:sz w:val="16"/>
            <w:szCs w:val="16"/>
          </w:rPr>
          <w:fldChar w:fldCharType="begin"/>
        </w:r>
        <w:r w:rsidR="006C27F5" w:rsidRPr="0097193D">
          <w:rPr>
            <w:sz w:val="16"/>
            <w:szCs w:val="16"/>
          </w:rPr>
          <w:instrText>PAGE   \* MERGEFORMAT</w:instrText>
        </w:r>
        <w:r w:rsidRPr="0097193D">
          <w:rPr>
            <w:sz w:val="16"/>
            <w:szCs w:val="16"/>
          </w:rPr>
          <w:fldChar w:fldCharType="separate"/>
        </w:r>
        <w:r w:rsidR="00C6525A">
          <w:rPr>
            <w:noProof/>
            <w:sz w:val="16"/>
            <w:szCs w:val="16"/>
          </w:rPr>
          <w:t>1</w:t>
        </w:r>
        <w:r w:rsidRPr="0097193D">
          <w:rPr>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F7A" w:rsidRDefault="009C2F7A" w:rsidP="0097193D">
      <w:pPr>
        <w:spacing w:after="0" w:line="240" w:lineRule="auto"/>
      </w:pPr>
      <w:r>
        <w:separator/>
      </w:r>
    </w:p>
  </w:footnote>
  <w:footnote w:type="continuationSeparator" w:id="0">
    <w:p w:rsidR="009C2F7A" w:rsidRDefault="009C2F7A" w:rsidP="009719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87C1B"/>
    <w:multiLevelType w:val="hybridMultilevel"/>
    <w:tmpl w:val="C130ED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0DF6A5E"/>
    <w:multiLevelType w:val="hybridMultilevel"/>
    <w:tmpl w:val="6C14AE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CC4DEC"/>
    <w:multiLevelType w:val="hybridMultilevel"/>
    <w:tmpl w:val="3FE46E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38B7181"/>
    <w:multiLevelType w:val="hybridMultilevel"/>
    <w:tmpl w:val="80049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4EB2388"/>
    <w:multiLevelType w:val="hybridMultilevel"/>
    <w:tmpl w:val="A510EEAE"/>
    <w:lvl w:ilvl="0" w:tplc="0415000F">
      <w:start w:val="1"/>
      <w:numFmt w:val="decimal"/>
      <w:lvlText w:val="%1."/>
      <w:lvlJc w:val="left"/>
      <w:pPr>
        <w:tabs>
          <w:tab w:val="num" w:pos="340"/>
        </w:tabs>
        <w:ind w:left="340" w:hanging="340"/>
      </w:pPr>
      <w:rPr>
        <w:rFonts w:cs="Times New Roman"/>
        <w:b w:val="0"/>
        <w:i w:val="0"/>
        <w:sz w:val="18"/>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161C7723"/>
    <w:multiLevelType w:val="hybridMultilevel"/>
    <w:tmpl w:val="3B1614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7206DCB"/>
    <w:multiLevelType w:val="hybridMultilevel"/>
    <w:tmpl w:val="CCD827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A8766DB"/>
    <w:multiLevelType w:val="hybridMultilevel"/>
    <w:tmpl w:val="38BE245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20BC0673"/>
    <w:multiLevelType w:val="hybridMultilevel"/>
    <w:tmpl w:val="C220DE0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21E0519A"/>
    <w:multiLevelType w:val="singleLevel"/>
    <w:tmpl w:val="6E6467DA"/>
    <w:lvl w:ilvl="0">
      <w:start w:val="1"/>
      <w:numFmt w:val="lowerLetter"/>
      <w:lvlText w:val="%1)"/>
      <w:legacy w:legacy="1" w:legacySpace="0" w:legacyIndent="245"/>
      <w:lvlJc w:val="left"/>
      <w:pPr>
        <w:ind w:left="0" w:firstLine="0"/>
      </w:pPr>
      <w:rPr>
        <w:rFonts w:ascii="Arial" w:hAnsi="Arial" w:cs="Arial" w:hint="default"/>
      </w:rPr>
    </w:lvl>
  </w:abstractNum>
  <w:abstractNum w:abstractNumId="10">
    <w:nsid w:val="23D42519"/>
    <w:multiLevelType w:val="hybridMultilevel"/>
    <w:tmpl w:val="42B6B1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5DD5578"/>
    <w:multiLevelType w:val="multilevel"/>
    <w:tmpl w:val="977270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ascii="Times New Roman" w:hAnsi="Times New Roman" w:cs="Times New Roman" w:hint="default"/>
        <w:b/>
        <w:color w:val="auto"/>
        <w:lang w:val="pl-PL"/>
      </w:rPr>
    </w:lvl>
    <w:lvl w:ilvl="2">
      <w:start w:val="1"/>
      <w:numFmt w:val="decimal"/>
      <w:lvlText w:val="%1.%2.%3."/>
      <w:lvlJc w:val="left"/>
      <w:pPr>
        <w:tabs>
          <w:tab w:val="num" w:pos="1440"/>
        </w:tabs>
        <w:ind w:left="1224" w:hanging="504"/>
      </w:pPr>
      <w:rPr>
        <w:rFonts w:ascii="Times New Roman" w:hAnsi="Times New Roman" w:cs="Times New Roman" w:hint="default"/>
        <w:b w:val="0"/>
        <w:i w:val="0"/>
        <w:color w:val="auto"/>
        <w:sz w:val="22"/>
        <w:szCs w:val="22"/>
        <w:lang w:val="pl-PL"/>
      </w:rPr>
    </w:lvl>
    <w:lvl w:ilvl="3">
      <w:start w:val="1"/>
      <w:numFmt w:val="decimal"/>
      <w:lvlText w:val="%1.%2.%3.%4."/>
      <w:lvlJc w:val="left"/>
      <w:pPr>
        <w:tabs>
          <w:tab w:val="num" w:pos="2160"/>
        </w:tabs>
        <w:ind w:left="1728" w:hanging="648"/>
      </w:pPr>
      <w:rPr>
        <w:rFonts w:hint="default"/>
        <w:b w:val="0"/>
        <w:i w:val="0"/>
        <w:lang w:val="en-US"/>
      </w:rPr>
    </w:lvl>
    <w:lvl w:ilvl="4">
      <w:start w:val="1"/>
      <w:numFmt w:val="decimal"/>
      <w:lvlText w:val="%1.%2.%3.%4.%5."/>
      <w:lvlJc w:val="left"/>
      <w:pPr>
        <w:tabs>
          <w:tab w:val="num" w:pos="2520"/>
        </w:tabs>
        <w:ind w:left="2232" w:hanging="792"/>
      </w:pPr>
      <w:rPr>
        <w:rFonts w:hint="default"/>
        <w:b w:val="0"/>
        <w:lang w:val="en-US"/>
      </w:rPr>
    </w:lvl>
    <w:lvl w:ilvl="5">
      <w:start w:val="1"/>
      <w:numFmt w:val="decimal"/>
      <w:lvlText w:val="%1.%2.%3.%4.%5.%6."/>
      <w:lvlJc w:val="left"/>
      <w:pPr>
        <w:tabs>
          <w:tab w:val="num" w:pos="3240"/>
        </w:tabs>
        <w:ind w:left="2736" w:hanging="936"/>
      </w:pPr>
      <w:rPr>
        <w:rFonts w:hint="default"/>
        <w:b w:val="0"/>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2C6B48E2"/>
    <w:multiLevelType w:val="hybridMultilevel"/>
    <w:tmpl w:val="A648BDA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2CE474F7"/>
    <w:multiLevelType w:val="hybridMultilevel"/>
    <w:tmpl w:val="1CFA110C"/>
    <w:lvl w:ilvl="0" w:tplc="6D62D86A">
      <w:start w:val="1"/>
      <w:numFmt w:val="upp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F336747"/>
    <w:multiLevelType w:val="hybridMultilevel"/>
    <w:tmpl w:val="C2CEEA26"/>
    <w:lvl w:ilvl="0" w:tplc="E1D08F1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3366607"/>
    <w:multiLevelType w:val="hybridMultilevel"/>
    <w:tmpl w:val="C29A3A0A"/>
    <w:lvl w:ilvl="0" w:tplc="254298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4084CEE"/>
    <w:multiLevelType w:val="hybridMultilevel"/>
    <w:tmpl w:val="0AFA7E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45612AC"/>
    <w:multiLevelType w:val="hybridMultilevel"/>
    <w:tmpl w:val="28767CB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9867DD5"/>
    <w:multiLevelType w:val="hybridMultilevel"/>
    <w:tmpl w:val="C220DE0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3A840BEB"/>
    <w:multiLevelType w:val="hybridMultilevel"/>
    <w:tmpl w:val="DD3E0D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F8F0D6D"/>
    <w:multiLevelType w:val="hybridMultilevel"/>
    <w:tmpl w:val="679A1C0E"/>
    <w:lvl w:ilvl="0" w:tplc="B22E0822">
      <w:start w:val="1"/>
      <w:numFmt w:val="decimal"/>
      <w:lvlText w:val="%1)"/>
      <w:lvlJc w:val="left"/>
      <w:pPr>
        <w:tabs>
          <w:tab w:val="num" w:pos="340"/>
        </w:tabs>
        <w:ind w:left="340" w:hanging="340"/>
      </w:pPr>
      <w:rPr>
        <w:rFonts w:ascii="Calibri" w:hAnsi="Calibri" w:cs="Times New Roman" w:hint="default"/>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nsid w:val="3FC77998"/>
    <w:multiLevelType w:val="hybridMultilevel"/>
    <w:tmpl w:val="27565352"/>
    <w:lvl w:ilvl="0" w:tplc="094ADB46">
      <w:start w:val="1"/>
      <w:numFmt w:val="upperRoman"/>
      <w:lvlText w:val="%1."/>
      <w:lvlJc w:val="left"/>
      <w:pPr>
        <w:tabs>
          <w:tab w:val="num" w:pos="1080"/>
        </w:tabs>
        <w:ind w:left="1080" w:hanging="720"/>
      </w:pPr>
      <w:rPr>
        <w:rFonts w:hint="default"/>
      </w:rPr>
    </w:lvl>
    <w:lvl w:ilvl="1" w:tplc="707A8344">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2A048C7"/>
    <w:multiLevelType w:val="multilevel"/>
    <w:tmpl w:val="5D8E6BF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444B285D"/>
    <w:multiLevelType w:val="hybridMultilevel"/>
    <w:tmpl w:val="F920F8EC"/>
    <w:lvl w:ilvl="0" w:tplc="254298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4970C9E"/>
    <w:multiLevelType w:val="hybridMultilevel"/>
    <w:tmpl w:val="73E0CC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50A4659"/>
    <w:multiLevelType w:val="hybridMultilevel"/>
    <w:tmpl w:val="EAB256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48040933"/>
    <w:multiLevelType w:val="hybridMultilevel"/>
    <w:tmpl w:val="27BA6DA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48604AD3"/>
    <w:multiLevelType w:val="multilevel"/>
    <w:tmpl w:val="5D8E6BF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4A44443B"/>
    <w:multiLevelType w:val="hybridMultilevel"/>
    <w:tmpl w:val="8410C0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0563DF4"/>
    <w:multiLevelType w:val="hybridMultilevel"/>
    <w:tmpl w:val="EE108A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54062A4C"/>
    <w:multiLevelType w:val="hybridMultilevel"/>
    <w:tmpl w:val="C130ED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5B411D6"/>
    <w:multiLevelType w:val="hybridMultilevel"/>
    <w:tmpl w:val="9CA61370"/>
    <w:lvl w:ilvl="0" w:tplc="2F0EB3FA">
      <w:start w:val="1"/>
      <w:numFmt w:val="decimal"/>
      <w:lvlText w:val="%1."/>
      <w:lvlJc w:val="left"/>
      <w:pPr>
        <w:ind w:left="720" w:hanging="360"/>
      </w:pPr>
      <w:rPr>
        <w:rFonts w:asciiTheme="minorHAnsi" w:hAnsiTheme="minorHAnsi"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5D21753"/>
    <w:multiLevelType w:val="multilevel"/>
    <w:tmpl w:val="EF0658DC"/>
    <w:lvl w:ilvl="0">
      <w:start w:val="6"/>
      <w:numFmt w:val="decimalZero"/>
      <w:lvlText w:val="%1"/>
      <w:lvlJc w:val="left"/>
      <w:pPr>
        <w:ind w:left="600" w:hanging="600"/>
      </w:pPr>
      <w:rPr>
        <w:rFonts w:hint="default"/>
      </w:rPr>
    </w:lvl>
    <w:lvl w:ilvl="1">
      <w:start w:val="10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6DF66AF"/>
    <w:multiLevelType w:val="hybridMultilevel"/>
    <w:tmpl w:val="1F1822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8EE6181"/>
    <w:multiLevelType w:val="hybridMultilevel"/>
    <w:tmpl w:val="4FDE604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5DCE7B26"/>
    <w:multiLevelType w:val="hybridMultilevel"/>
    <w:tmpl w:val="8E8887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FB15F97"/>
    <w:multiLevelType w:val="hybridMultilevel"/>
    <w:tmpl w:val="786C2B6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0375DAF"/>
    <w:multiLevelType w:val="hybridMultilevel"/>
    <w:tmpl w:val="1886502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0597DE1"/>
    <w:multiLevelType w:val="hybridMultilevel"/>
    <w:tmpl w:val="FDF411BC"/>
    <w:lvl w:ilvl="0" w:tplc="76F65698">
      <w:start w:val="1"/>
      <w:numFmt w:val="lowerLetter"/>
      <w:lvlText w:val="%1)"/>
      <w:lvlJc w:val="left"/>
      <w:pPr>
        <w:tabs>
          <w:tab w:val="num" w:pos="1980"/>
        </w:tabs>
        <w:ind w:left="19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nsid w:val="65B4644D"/>
    <w:multiLevelType w:val="hybridMultilevel"/>
    <w:tmpl w:val="786C2B6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82060B2"/>
    <w:multiLevelType w:val="multilevel"/>
    <w:tmpl w:val="9C34214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1">
    <w:nsid w:val="6C0A771D"/>
    <w:multiLevelType w:val="hybridMultilevel"/>
    <w:tmpl w:val="C130ED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FA97D3C"/>
    <w:multiLevelType w:val="hybridMultilevel"/>
    <w:tmpl w:val="5B6CBB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1DA7567"/>
    <w:multiLevelType w:val="hybridMultilevel"/>
    <w:tmpl w:val="9E6AEECC"/>
    <w:lvl w:ilvl="0" w:tplc="F6E67F0C">
      <w:numFmt w:val="bullet"/>
      <w:lvlText w:val="-"/>
      <w:lvlJc w:val="left"/>
      <w:pPr>
        <w:ind w:left="1440" w:hanging="360"/>
      </w:pPr>
      <w:rPr>
        <w:rFonts w:ascii="Calibri" w:eastAsia="Times New Roman" w:hAnsi="Calibri"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nsid w:val="74FB202A"/>
    <w:multiLevelType w:val="hybridMultilevel"/>
    <w:tmpl w:val="37007B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nsid w:val="7B206094"/>
    <w:multiLevelType w:val="hybridMultilevel"/>
    <w:tmpl w:val="CCB6EF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13"/>
  </w:num>
  <w:num w:numId="3">
    <w:abstractNumId w:val="1"/>
  </w:num>
  <w:num w:numId="4">
    <w:abstractNumId w:val="36"/>
  </w:num>
  <w:num w:numId="5">
    <w:abstractNumId w:val="22"/>
  </w:num>
  <w:num w:numId="6">
    <w:abstractNumId w:val="2"/>
  </w:num>
  <w:num w:numId="7">
    <w:abstractNumId w:val="31"/>
  </w:num>
  <w:num w:numId="8">
    <w:abstractNumId w:val="11"/>
  </w:num>
  <w:num w:numId="9">
    <w:abstractNumId w:val="17"/>
  </w:num>
  <w:num w:numId="10">
    <w:abstractNumId w:val="25"/>
  </w:num>
  <w:num w:numId="11">
    <w:abstractNumId w:val="44"/>
  </w:num>
  <w:num w:numId="12">
    <w:abstractNumId w:val="41"/>
  </w:num>
  <w:num w:numId="13">
    <w:abstractNumId w:val="10"/>
  </w:num>
  <w:num w:numId="14">
    <w:abstractNumId w:val="24"/>
  </w:num>
  <w:num w:numId="15">
    <w:abstractNumId w:val="32"/>
  </w:num>
  <w:num w:numId="16">
    <w:abstractNumId w:val="43"/>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12"/>
  </w:num>
  <w:num w:numId="23">
    <w:abstractNumId w:val="0"/>
  </w:num>
  <w:num w:numId="24">
    <w:abstractNumId w:val="19"/>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7"/>
  </w:num>
  <w:num w:numId="32">
    <w:abstractNumId w:val="8"/>
  </w:num>
  <w:num w:numId="33">
    <w:abstractNumId w:val="33"/>
  </w:num>
  <w:num w:numId="34">
    <w:abstractNumId w:val="34"/>
  </w:num>
  <w:num w:numId="35">
    <w:abstractNumId w:val="18"/>
  </w:num>
  <w:num w:numId="36">
    <w:abstractNumId w:val="3"/>
  </w:num>
  <w:num w:numId="37">
    <w:abstractNumId w:val="42"/>
  </w:num>
  <w:num w:numId="38">
    <w:abstractNumId w:val="6"/>
  </w:num>
  <w:num w:numId="39">
    <w:abstractNumId w:val="9"/>
    <w:lvlOverride w:ilvl="0">
      <w:startOverride w:val="1"/>
    </w:lvlOverride>
  </w:num>
  <w:num w:numId="40">
    <w:abstractNumId w:val="23"/>
  </w:num>
  <w:num w:numId="41">
    <w:abstractNumId w:val="15"/>
  </w:num>
  <w:num w:numId="42">
    <w:abstractNumId w:val="21"/>
  </w:num>
  <w:num w:numId="43">
    <w:abstractNumId w:val="35"/>
  </w:num>
  <w:num w:numId="44">
    <w:abstractNumId w:val="28"/>
  </w:num>
  <w:num w:numId="45">
    <w:abstractNumId w:val="45"/>
  </w:num>
  <w:num w:numId="46">
    <w:abstractNumId w:val="40"/>
  </w:num>
  <w:num w:numId="47">
    <w:abstractNumId w:val="27"/>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208"/>
    <w:rsid w:val="00002F42"/>
    <w:rsid w:val="00004EAF"/>
    <w:rsid w:val="0002423D"/>
    <w:rsid w:val="0002626F"/>
    <w:rsid w:val="00027509"/>
    <w:rsid w:val="00031078"/>
    <w:rsid w:val="00031C37"/>
    <w:rsid w:val="000468C7"/>
    <w:rsid w:val="00051710"/>
    <w:rsid w:val="00052C7D"/>
    <w:rsid w:val="00056A0F"/>
    <w:rsid w:val="00062C42"/>
    <w:rsid w:val="00063416"/>
    <w:rsid w:val="00065AFF"/>
    <w:rsid w:val="00066088"/>
    <w:rsid w:val="000704B4"/>
    <w:rsid w:val="000707E3"/>
    <w:rsid w:val="00076CD4"/>
    <w:rsid w:val="0008008A"/>
    <w:rsid w:val="00081B29"/>
    <w:rsid w:val="0008399E"/>
    <w:rsid w:val="00083D4D"/>
    <w:rsid w:val="00084119"/>
    <w:rsid w:val="0008688E"/>
    <w:rsid w:val="00094B71"/>
    <w:rsid w:val="00095798"/>
    <w:rsid w:val="00095BE8"/>
    <w:rsid w:val="000A28AD"/>
    <w:rsid w:val="000B12B4"/>
    <w:rsid w:val="000B5DD5"/>
    <w:rsid w:val="000C2C58"/>
    <w:rsid w:val="000D0668"/>
    <w:rsid w:val="000D1A25"/>
    <w:rsid w:val="000D271C"/>
    <w:rsid w:val="000D600C"/>
    <w:rsid w:val="000E09EB"/>
    <w:rsid w:val="000E1A58"/>
    <w:rsid w:val="000E3301"/>
    <w:rsid w:val="000E3CFA"/>
    <w:rsid w:val="000E5A17"/>
    <w:rsid w:val="000E77B9"/>
    <w:rsid w:val="000F5808"/>
    <w:rsid w:val="00114A23"/>
    <w:rsid w:val="001173BB"/>
    <w:rsid w:val="00124787"/>
    <w:rsid w:val="00132D21"/>
    <w:rsid w:val="00134895"/>
    <w:rsid w:val="00153DA9"/>
    <w:rsid w:val="00155AE4"/>
    <w:rsid w:val="0017089D"/>
    <w:rsid w:val="00172806"/>
    <w:rsid w:val="0017508E"/>
    <w:rsid w:val="00190134"/>
    <w:rsid w:val="0019446E"/>
    <w:rsid w:val="00194FA7"/>
    <w:rsid w:val="001A2AC0"/>
    <w:rsid w:val="001B0D3F"/>
    <w:rsid w:val="001B13CB"/>
    <w:rsid w:val="001B346A"/>
    <w:rsid w:val="001B4101"/>
    <w:rsid w:val="001B5842"/>
    <w:rsid w:val="001C6EDA"/>
    <w:rsid w:val="001C7E52"/>
    <w:rsid w:val="001D1FDB"/>
    <w:rsid w:val="001E1AD7"/>
    <w:rsid w:val="001E221E"/>
    <w:rsid w:val="001F252C"/>
    <w:rsid w:val="001F4CFB"/>
    <w:rsid w:val="001F4EAA"/>
    <w:rsid w:val="00204515"/>
    <w:rsid w:val="00206EDC"/>
    <w:rsid w:val="00222332"/>
    <w:rsid w:val="0023039C"/>
    <w:rsid w:val="002309B0"/>
    <w:rsid w:val="002312B8"/>
    <w:rsid w:val="00233472"/>
    <w:rsid w:val="00236E93"/>
    <w:rsid w:val="0024567C"/>
    <w:rsid w:val="002502E1"/>
    <w:rsid w:val="002502F4"/>
    <w:rsid w:val="0025177C"/>
    <w:rsid w:val="00260035"/>
    <w:rsid w:val="00287C87"/>
    <w:rsid w:val="00292B79"/>
    <w:rsid w:val="002A337C"/>
    <w:rsid w:val="002A7051"/>
    <w:rsid w:val="002B07E9"/>
    <w:rsid w:val="002B3718"/>
    <w:rsid w:val="002B450A"/>
    <w:rsid w:val="002C0576"/>
    <w:rsid w:val="002C1C09"/>
    <w:rsid w:val="002C5081"/>
    <w:rsid w:val="002C61DA"/>
    <w:rsid w:val="002D6DEF"/>
    <w:rsid w:val="002E7FCF"/>
    <w:rsid w:val="002F32FE"/>
    <w:rsid w:val="0032083A"/>
    <w:rsid w:val="00320E7F"/>
    <w:rsid w:val="0032356C"/>
    <w:rsid w:val="00323F6B"/>
    <w:rsid w:val="003240BD"/>
    <w:rsid w:val="0032561F"/>
    <w:rsid w:val="00326D13"/>
    <w:rsid w:val="00331172"/>
    <w:rsid w:val="003335CE"/>
    <w:rsid w:val="00335F33"/>
    <w:rsid w:val="003366BB"/>
    <w:rsid w:val="00342F02"/>
    <w:rsid w:val="00345B7B"/>
    <w:rsid w:val="00351FE9"/>
    <w:rsid w:val="00356D79"/>
    <w:rsid w:val="003625D8"/>
    <w:rsid w:val="00362DA7"/>
    <w:rsid w:val="0037552A"/>
    <w:rsid w:val="003A5789"/>
    <w:rsid w:val="003B0937"/>
    <w:rsid w:val="003B7C05"/>
    <w:rsid w:val="003C2ACB"/>
    <w:rsid w:val="003D52F5"/>
    <w:rsid w:val="003D60C0"/>
    <w:rsid w:val="003E6E17"/>
    <w:rsid w:val="003F6F03"/>
    <w:rsid w:val="00400543"/>
    <w:rsid w:val="004018C9"/>
    <w:rsid w:val="004063B6"/>
    <w:rsid w:val="00422DB8"/>
    <w:rsid w:val="004245B8"/>
    <w:rsid w:val="00431F5E"/>
    <w:rsid w:val="004322E3"/>
    <w:rsid w:val="00433185"/>
    <w:rsid w:val="00435C5C"/>
    <w:rsid w:val="00435F30"/>
    <w:rsid w:val="0044504B"/>
    <w:rsid w:val="0045340A"/>
    <w:rsid w:val="00456BFB"/>
    <w:rsid w:val="0045758C"/>
    <w:rsid w:val="00460954"/>
    <w:rsid w:val="00461372"/>
    <w:rsid w:val="004619E3"/>
    <w:rsid w:val="0047009C"/>
    <w:rsid w:val="00485E08"/>
    <w:rsid w:val="004872F5"/>
    <w:rsid w:val="004874BA"/>
    <w:rsid w:val="00494501"/>
    <w:rsid w:val="004947AF"/>
    <w:rsid w:val="004A04D9"/>
    <w:rsid w:val="004A0DDE"/>
    <w:rsid w:val="004B02A3"/>
    <w:rsid w:val="004B3D0D"/>
    <w:rsid w:val="004B5934"/>
    <w:rsid w:val="004C2B5B"/>
    <w:rsid w:val="004C6C0E"/>
    <w:rsid w:val="004C6E3C"/>
    <w:rsid w:val="004D136E"/>
    <w:rsid w:val="004D68C0"/>
    <w:rsid w:val="004E4513"/>
    <w:rsid w:val="004E67A4"/>
    <w:rsid w:val="004E76C1"/>
    <w:rsid w:val="004F1D68"/>
    <w:rsid w:val="004F3DFE"/>
    <w:rsid w:val="004F438B"/>
    <w:rsid w:val="004F7C35"/>
    <w:rsid w:val="00501171"/>
    <w:rsid w:val="0051085B"/>
    <w:rsid w:val="00511B94"/>
    <w:rsid w:val="005124FD"/>
    <w:rsid w:val="00512C6C"/>
    <w:rsid w:val="00512DD1"/>
    <w:rsid w:val="00524A84"/>
    <w:rsid w:val="00525B4E"/>
    <w:rsid w:val="00530CFE"/>
    <w:rsid w:val="005507F0"/>
    <w:rsid w:val="005545D3"/>
    <w:rsid w:val="00555531"/>
    <w:rsid w:val="005566D0"/>
    <w:rsid w:val="00560DB8"/>
    <w:rsid w:val="005722B9"/>
    <w:rsid w:val="00575045"/>
    <w:rsid w:val="00575BF0"/>
    <w:rsid w:val="00577A11"/>
    <w:rsid w:val="005811FF"/>
    <w:rsid w:val="00585335"/>
    <w:rsid w:val="00591BCF"/>
    <w:rsid w:val="00597140"/>
    <w:rsid w:val="005A0F63"/>
    <w:rsid w:val="005A1554"/>
    <w:rsid w:val="005A5012"/>
    <w:rsid w:val="005B26EA"/>
    <w:rsid w:val="005B3700"/>
    <w:rsid w:val="005B3BB6"/>
    <w:rsid w:val="005C39E9"/>
    <w:rsid w:val="005C7911"/>
    <w:rsid w:val="005D41F7"/>
    <w:rsid w:val="005E4831"/>
    <w:rsid w:val="005E55B9"/>
    <w:rsid w:val="005F4775"/>
    <w:rsid w:val="006037B4"/>
    <w:rsid w:val="0060612F"/>
    <w:rsid w:val="00615161"/>
    <w:rsid w:val="006216E5"/>
    <w:rsid w:val="00622BC4"/>
    <w:rsid w:val="00626AB3"/>
    <w:rsid w:val="006551FC"/>
    <w:rsid w:val="006558CC"/>
    <w:rsid w:val="00660060"/>
    <w:rsid w:val="00665071"/>
    <w:rsid w:val="006712D4"/>
    <w:rsid w:val="00671EE4"/>
    <w:rsid w:val="00672CAD"/>
    <w:rsid w:val="00680EC7"/>
    <w:rsid w:val="00687BFF"/>
    <w:rsid w:val="00692D05"/>
    <w:rsid w:val="006A6C1B"/>
    <w:rsid w:val="006A7A99"/>
    <w:rsid w:val="006B74D1"/>
    <w:rsid w:val="006C27F5"/>
    <w:rsid w:val="006C69DA"/>
    <w:rsid w:val="006D387B"/>
    <w:rsid w:val="006D3F39"/>
    <w:rsid w:val="006D79F5"/>
    <w:rsid w:val="006E41FF"/>
    <w:rsid w:val="006F3DBF"/>
    <w:rsid w:val="006F5E75"/>
    <w:rsid w:val="00707247"/>
    <w:rsid w:val="00707892"/>
    <w:rsid w:val="0070789C"/>
    <w:rsid w:val="00710050"/>
    <w:rsid w:val="00722E32"/>
    <w:rsid w:val="007263D2"/>
    <w:rsid w:val="00731336"/>
    <w:rsid w:val="007323C5"/>
    <w:rsid w:val="0073783C"/>
    <w:rsid w:val="0074735A"/>
    <w:rsid w:val="007474D5"/>
    <w:rsid w:val="00747837"/>
    <w:rsid w:val="007478A2"/>
    <w:rsid w:val="00752320"/>
    <w:rsid w:val="007529B5"/>
    <w:rsid w:val="00760EF5"/>
    <w:rsid w:val="00762C4F"/>
    <w:rsid w:val="00775CE7"/>
    <w:rsid w:val="00786CC3"/>
    <w:rsid w:val="00790F33"/>
    <w:rsid w:val="00791AFA"/>
    <w:rsid w:val="007920D0"/>
    <w:rsid w:val="00792BCE"/>
    <w:rsid w:val="0079436B"/>
    <w:rsid w:val="007A1393"/>
    <w:rsid w:val="007A2B9A"/>
    <w:rsid w:val="007A358A"/>
    <w:rsid w:val="007A4427"/>
    <w:rsid w:val="007B4E8B"/>
    <w:rsid w:val="007C218E"/>
    <w:rsid w:val="007C6783"/>
    <w:rsid w:val="007D267C"/>
    <w:rsid w:val="007D2F75"/>
    <w:rsid w:val="007E7AF5"/>
    <w:rsid w:val="007F2300"/>
    <w:rsid w:val="007F44E3"/>
    <w:rsid w:val="008007CE"/>
    <w:rsid w:val="0081477E"/>
    <w:rsid w:val="00822A7A"/>
    <w:rsid w:val="00823234"/>
    <w:rsid w:val="0082606E"/>
    <w:rsid w:val="00827A12"/>
    <w:rsid w:val="0083068A"/>
    <w:rsid w:val="00830BBC"/>
    <w:rsid w:val="0083215B"/>
    <w:rsid w:val="00834893"/>
    <w:rsid w:val="00845AFF"/>
    <w:rsid w:val="00846891"/>
    <w:rsid w:val="00847B7D"/>
    <w:rsid w:val="00851EF4"/>
    <w:rsid w:val="00866DC9"/>
    <w:rsid w:val="00866F52"/>
    <w:rsid w:val="008706F5"/>
    <w:rsid w:val="00870ABB"/>
    <w:rsid w:val="00877DF3"/>
    <w:rsid w:val="00877E05"/>
    <w:rsid w:val="0088059D"/>
    <w:rsid w:val="00884229"/>
    <w:rsid w:val="00886AE5"/>
    <w:rsid w:val="0089195B"/>
    <w:rsid w:val="00893314"/>
    <w:rsid w:val="008A2C92"/>
    <w:rsid w:val="008A4A25"/>
    <w:rsid w:val="008A7CE9"/>
    <w:rsid w:val="008B0B71"/>
    <w:rsid w:val="008B5157"/>
    <w:rsid w:val="008B5D37"/>
    <w:rsid w:val="008C5A75"/>
    <w:rsid w:val="008D2471"/>
    <w:rsid w:val="008D3E85"/>
    <w:rsid w:val="008D6595"/>
    <w:rsid w:val="008D6F29"/>
    <w:rsid w:val="008E258A"/>
    <w:rsid w:val="008E331A"/>
    <w:rsid w:val="008E43FB"/>
    <w:rsid w:val="008E5822"/>
    <w:rsid w:val="008F0738"/>
    <w:rsid w:val="008F7A58"/>
    <w:rsid w:val="00903A1B"/>
    <w:rsid w:val="0090460D"/>
    <w:rsid w:val="00906D84"/>
    <w:rsid w:val="00916027"/>
    <w:rsid w:val="009163F5"/>
    <w:rsid w:val="00920EB1"/>
    <w:rsid w:val="00925CC1"/>
    <w:rsid w:val="00931243"/>
    <w:rsid w:val="0094075D"/>
    <w:rsid w:val="00940B22"/>
    <w:rsid w:val="009418D0"/>
    <w:rsid w:val="00941D50"/>
    <w:rsid w:val="0094658E"/>
    <w:rsid w:val="00952131"/>
    <w:rsid w:val="00954F1D"/>
    <w:rsid w:val="009579F9"/>
    <w:rsid w:val="00960CA7"/>
    <w:rsid w:val="009616E2"/>
    <w:rsid w:val="0097193D"/>
    <w:rsid w:val="0097227B"/>
    <w:rsid w:val="00975A6D"/>
    <w:rsid w:val="009806B2"/>
    <w:rsid w:val="00981D4B"/>
    <w:rsid w:val="00984306"/>
    <w:rsid w:val="009921C8"/>
    <w:rsid w:val="00992BA8"/>
    <w:rsid w:val="009978A9"/>
    <w:rsid w:val="009A6DA9"/>
    <w:rsid w:val="009B11E6"/>
    <w:rsid w:val="009B2710"/>
    <w:rsid w:val="009B77DF"/>
    <w:rsid w:val="009C2227"/>
    <w:rsid w:val="009C2750"/>
    <w:rsid w:val="009C288F"/>
    <w:rsid w:val="009C2F7A"/>
    <w:rsid w:val="009C6160"/>
    <w:rsid w:val="009D32EB"/>
    <w:rsid w:val="009D4025"/>
    <w:rsid w:val="009D6A9B"/>
    <w:rsid w:val="009E0680"/>
    <w:rsid w:val="009E3945"/>
    <w:rsid w:val="009E6F3D"/>
    <w:rsid w:val="009E7529"/>
    <w:rsid w:val="009F2208"/>
    <w:rsid w:val="009F3B73"/>
    <w:rsid w:val="009F4C9F"/>
    <w:rsid w:val="009F74FE"/>
    <w:rsid w:val="00A06A31"/>
    <w:rsid w:val="00A10854"/>
    <w:rsid w:val="00A20FB6"/>
    <w:rsid w:val="00A2696C"/>
    <w:rsid w:val="00A30CB5"/>
    <w:rsid w:val="00A322DE"/>
    <w:rsid w:val="00A34F78"/>
    <w:rsid w:val="00A409F9"/>
    <w:rsid w:val="00A607DC"/>
    <w:rsid w:val="00A8382D"/>
    <w:rsid w:val="00A83F0A"/>
    <w:rsid w:val="00A905E6"/>
    <w:rsid w:val="00AA1D5D"/>
    <w:rsid w:val="00AA1FCA"/>
    <w:rsid w:val="00AA28E4"/>
    <w:rsid w:val="00AA72B5"/>
    <w:rsid w:val="00AA7895"/>
    <w:rsid w:val="00AB0238"/>
    <w:rsid w:val="00AB0281"/>
    <w:rsid w:val="00AC3C20"/>
    <w:rsid w:val="00AD0865"/>
    <w:rsid w:val="00AD1684"/>
    <w:rsid w:val="00AD23BB"/>
    <w:rsid w:val="00AE1599"/>
    <w:rsid w:val="00AE1E41"/>
    <w:rsid w:val="00AE1E71"/>
    <w:rsid w:val="00AE6A92"/>
    <w:rsid w:val="00AE790C"/>
    <w:rsid w:val="00AF41BF"/>
    <w:rsid w:val="00B03D9D"/>
    <w:rsid w:val="00B04CC4"/>
    <w:rsid w:val="00B1262A"/>
    <w:rsid w:val="00B21BB1"/>
    <w:rsid w:val="00B23DDB"/>
    <w:rsid w:val="00B26A12"/>
    <w:rsid w:val="00B344FD"/>
    <w:rsid w:val="00B36AC2"/>
    <w:rsid w:val="00B37735"/>
    <w:rsid w:val="00B37FB2"/>
    <w:rsid w:val="00B46DC0"/>
    <w:rsid w:val="00B51797"/>
    <w:rsid w:val="00B53932"/>
    <w:rsid w:val="00B7691A"/>
    <w:rsid w:val="00B81EF1"/>
    <w:rsid w:val="00B86489"/>
    <w:rsid w:val="00BB0FA7"/>
    <w:rsid w:val="00BB1734"/>
    <w:rsid w:val="00BB1856"/>
    <w:rsid w:val="00BB271E"/>
    <w:rsid w:val="00BC03A7"/>
    <w:rsid w:val="00BC06BB"/>
    <w:rsid w:val="00BC0B00"/>
    <w:rsid w:val="00BC43C5"/>
    <w:rsid w:val="00BC6DA0"/>
    <w:rsid w:val="00BD45FD"/>
    <w:rsid w:val="00BD5802"/>
    <w:rsid w:val="00BD6773"/>
    <w:rsid w:val="00BE0AEC"/>
    <w:rsid w:val="00BE2E7E"/>
    <w:rsid w:val="00BF4269"/>
    <w:rsid w:val="00C01610"/>
    <w:rsid w:val="00C01DB4"/>
    <w:rsid w:val="00C01F1B"/>
    <w:rsid w:val="00C02B2A"/>
    <w:rsid w:val="00C04CEF"/>
    <w:rsid w:val="00C11A82"/>
    <w:rsid w:val="00C20DAD"/>
    <w:rsid w:val="00C454C7"/>
    <w:rsid w:val="00C53BB3"/>
    <w:rsid w:val="00C563EB"/>
    <w:rsid w:val="00C640C6"/>
    <w:rsid w:val="00C650B6"/>
    <w:rsid w:val="00C6525A"/>
    <w:rsid w:val="00C664CB"/>
    <w:rsid w:val="00C73A8A"/>
    <w:rsid w:val="00C73EF0"/>
    <w:rsid w:val="00C808B9"/>
    <w:rsid w:val="00CA0683"/>
    <w:rsid w:val="00CA4CB5"/>
    <w:rsid w:val="00CB5AD6"/>
    <w:rsid w:val="00CB6E50"/>
    <w:rsid w:val="00CC00A6"/>
    <w:rsid w:val="00CC1721"/>
    <w:rsid w:val="00CD61DB"/>
    <w:rsid w:val="00CE1E3A"/>
    <w:rsid w:val="00CE34AD"/>
    <w:rsid w:val="00CE4EBA"/>
    <w:rsid w:val="00CE6D4A"/>
    <w:rsid w:val="00CF2866"/>
    <w:rsid w:val="00CF3236"/>
    <w:rsid w:val="00CF335B"/>
    <w:rsid w:val="00CF44CC"/>
    <w:rsid w:val="00D20292"/>
    <w:rsid w:val="00D25106"/>
    <w:rsid w:val="00D2577A"/>
    <w:rsid w:val="00D25E30"/>
    <w:rsid w:val="00D3213C"/>
    <w:rsid w:val="00D32533"/>
    <w:rsid w:val="00D53A97"/>
    <w:rsid w:val="00D60B93"/>
    <w:rsid w:val="00D667D0"/>
    <w:rsid w:val="00D758A3"/>
    <w:rsid w:val="00D76199"/>
    <w:rsid w:val="00D9172C"/>
    <w:rsid w:val="00DA1E04"/>
    <w:rsid w:val="00DA308C"/>
    <w:rsid w:val="00DB32C4"/>
    <w:rsid w:val="00DB6F54"/>
    <w:rsid w:val="00DC2F2C"/>
    <w:rsid w:val="00DD4E4A"/>
    <w:rsid w:val="00DD5E36"/>
    <w:rsid w:val="00DD7DCA"/>
    <w:rsid w:val="00DE1764"/>
    <w:rsid w:val="00DE1F75"/>
    <w:rsid w:val="00DE5B11"/>
    <w:rsid w:val="00DE607C"/>
    <w:rsid w:val="00E01756"/>
    <w:rsid w:val="00E16419"/>
    <w:rsid w:val="00E16C80"/>
    <w:rsid w:val="00E215C7"/>
    <w:rsid w:val="00E265A3"/>
    <w:rsid w:val="00E27D5E"/>
    <w:rsid w:val="00E31877"/>
    <w:rsid w:val="00E37009"/>
    <w:rsid w:val="00E557B1"/>
    <w:rsid w:val="00E606D1"/>
    <w:rsid w:val="00E61325"/>
    <w:rsid w:val="00E64B60"/>
    <w:rsid w:val="00E7620A"/>
    <w:rsid w:val="00E77B37"/>
    <w:rsid w:val="00E80955"/>
    <w:rsid w:val="00E81CD3"/>
    <w:rsid w:val="00E82AD3"/>
    <w:rsid w:val="00E858E8"/>
    <w:rsid w:val="00E8748B"/>
    <w:rsid w:val="00EB3572"/>
    <w:rsid w:val="00EB45DB"/>
    <w:rsid w:val="00EB5F64"/>
    <w:rsid w:val="00EB6026"/>
    <w:rsid w:val="00EB7D4B"/>
    <w:rsid w:val="00EC0494"/>
    <w:rsid w:val="00EC14F6"/>
    <w:rsid w:val="00EC1A63"/>
    <w:rsid w:val="00EC2BA2"/>
    <w:rsid w:val="00EC37EA"/>
    <w:rsid w:val="00ED2EF4"/>
    <w:rsid w:val="00ED7B19"/>
    <w:rsid w:val="00ED7D11"/>
    <w:rsid w:val="00EE5446"/>
    <w:rsid w:val="00EF3285"/>
    <w:rsid w:val="00EF67C3"/>
    <w:rsid w:val="00F02F78"/>
    <w:rsid w:val="00F05AAF"/>
    <w:rsid w:val="00F05BD8"/>
    <w:rsid w:val="00F10636"/>
    <w:rsid w:val="00F12892"/>
    <w:rsid w:val="00F176C4"/>
    <w:rsid w:val="00F20E42"/>
    <w:rsid w:val="00F21168"/>
    <w:rsid w:val="00F2208C"/>
    <w:rsid w:val="00F2464E"/>
    <w:rsid w:val="00F332A1"/>
    <w:rsid w:val="00F34B34"/>
    <w:rsid w:val="00F3627D"/>
    <w:rsid w:val="00F50712"/>
    <w:rsid w:val="00F5085E"/>
    <w:rsid w:val="00F563E7"/>
    <w:rsid w:val="00F61A5A"/>
    <w:rsid w:val="00F63C3A"/>
    <w:rsid w:val="00F66868"/>
    <w:rsid w:val="00F71432"/>
    <w:rsid w:val="00F75300"/>
    <w:rsid w:val="00F7660A"/>
    <w:rsid w:val="00F7730A"/>
    <w:rsid w:val="00F83BEA"/>
    <w:rsid w:val="00F86E54"/>
    <w:rsid w:val="00F93246"/>
    <w:rsid w:val="00F97087"/>
    <w:rsid w:val="00FA343B"/>
    <w:rsid w:val="00FA4219"/>
    <w:rsid w:val="00FB1650"/>
    <w:rsid w:val="00FB5B6B"/>
    <w:rsid w:val="00FC49FC"/>
    <w:rsid w:val="00FD7248"/>
    <w:rsid w:val="00FE2A27"/>
    <w:rsid w:val="00FE2D1C"/>
    <w:rsid w:val="00FF3277"/>
    <w:rsid w:val="00FF4D33"/>
    <w:rsid w:val="00FF53CC"/>
    <w:rsid w:val="00FF67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56198D1-2F28-4F25-8335-EDD99B2F7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477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2208"/>
    <w:pPr>
      <w:ind w:left="720"/>
      <w:contextualSpacing/>
    </w:pPr>
  </w:style>
  <w:style w:type="paragraph" w:styleId="Tekstdymka">
    <w:name w:val="Balloon Text"/>
    <w:basedOn w:val="Normalny"/>
    <w:link w:val="TekstdymkaZnak"/>
    <w:uiPriority w:val="99"/>
    <w:semiHidden/>
    <w:unhideWhenUsed/>
    <w:rsid w:val="00981D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1D4B"/>
    <w:rPr>
      <w:rFonts w:ascii="Segoe UI" w:hAnsi="Segoe UI" w:cs="Segoe UI"/>
      <w:sz w:val="18"/>
      <w:szCs w:val="18"/>
    </w:rPr>
  </w:style>
  <w:style w:type="character" w:styleId="Odwoaniedokomentarza">
    <w:name w:val="annotation reference"/>
    <w:basedOn w:val="Domylnaczcionkaakapitu"/>
    <w:uiPriority w:val="99"/>
    <w:semiHidden/>
    <w:unhideWhenUsed/>
    <w:rsid w:val="009163F5"/>
    <w:rPr>
      <w:sz w:val="16"/>
      <w:szCs w:val="16"/>
    </w:rPr>
  </w:style>
  <w:style w:type="paragraph" w:styleId="Tekstkomentarza">
    <w:name w:val="annotation text"/>
    <w:basedOn w:val="Normalny"/>
    <w:link w:val="TekstkomentarzaZnak"/>
    <w:uiPriority w:val="99"/>
    <w:semiHidden/>
    <w:unhideWhenUsed/>
    <w:rsid w:val="009163F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163F5"/>
    <w:rPr>
      <w:sz w:val="20"/>
      <w:szCs w:val="20"/>
    </w:rPr>
  </w:style>
  <w:style w:type="paragraph" w:styleId="Tematkomentarza">
    <w:name w:val="annotation subject"/>
    <w:basedOn w:val="Tekstkomentarza"/>
    <w:next w:val="Tekstkomentarza"/>
    <w:link w:val="TematkomentarzaZnak"/>
    <w:uiPriority w:val="99"/>
    <w:semiHidden/>
    <w:unhideWhenUsed/>
    <w:rsid w:val="009163F5"/>
    <w:rPr>
      <w:b/>
      <w:bCs/>
    </w:rPr>
  </w:style>
  <w:style w:type="character" w:customStyle="1" w:styleId="TematkomentarzaZnak">
    <w:name w:val="Temat komentarza Znak"/>
    <w:basedOn w:val="TekstkomentarzaZnak"/>
    <w:link w:val="Tematkomentarza"/>
    <w:uiPriority w:val="99"/>
    <w:semiHidden/>
    <w:rsid w:val="009163F5"/>
    <w:rPr>
      <w:b/>
      <w:bCs/>
      <w:sz w:val="20"/>
      <w:szCs w:val="20"/>
    </w:rPr>
  </w:style>
  <w:style w:type="paragraph" w:customStyle="1" w:styleId="Style4">
    <w:name w:val="Style4"/>
    <w:basedOn w:val="Normalny"/>
    <w:uiPriority w:val="99"/>
    <w:rsid w:val="009418D0"/>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11">
    <w:name w:val="Font Style11"/>
    <w:basedOn w:val="Domylnaczcionkaakapitu"/>
    <w:uiPriority w:val="99"/>
    <w:rsid w:val="009418D0"/>
    <w:rPr>
      <w:rFonts w:ascii="Times New Roman" w:hAnsi="Times New Roman" w:cs="Times New Roman"/>
      <w:color w:val="000000"/>
      <w:sz w:val="20"/>
      <w:szCs w:val="20"/>
    </w:rPr>
  </w:style>
  <w:style w:type="paragraph" w:styleId="Nagwek">
    <w:name w:val="header"/>
    <w:basedOn w:val="Normalny"/>
    <w:link w:val="NagwekZnak1"/>
    <w:uiPriority w:val="99"/>
    <w:unhideWhenUsed/>
    <w:rsid w:val="00B37735"/>
    <w:pPr>
      <w:tabs>
        <w:tab w:val="center" w:pos="4536"/>
        <w:tab w:val="right" w:pos="9072"/>
      </w:tabs>
      <w:spacing w:after="200" w:line="276" w:lineRule="auto"/>
    </w:pPr>
    <w:rPr>
      <w:rFonts w:ascii="Calibri" w:eastAsia="Calibri" w:hAnsi="Calibri" w:cs="Times New Roman"/>
    </w:rPr>
  </w:style>
  <w:style w:type="character" w:customStyle="1" w:styleId="NagwekZnak">
    <w:name w:val="Nagłówek Znak"/>
    <w:basedOn w:val="Domylnaczcionkaakapitu"/>
    <w:uiPriority w:val="99"/>
    <w:semiHidden/>
    <w:rsid w:val="00B37735"/>
  </w:style>
  <w:style w:type="character" w:customStyle="1" w:styleId="NagwekZnak1">
    <w:name w:val="Nagłówek Znak1"/>
    <w:link w:val="Nagwek"/>
    <w:uiPriority w:val="99"/>
    <w:locked/>
    <w:rsid w:val="00B37735"/>
    <w:rPr>
      <w:rFonts w:ascii="Calibri" w:eastAsia="Calibri" w:hAnsi="Calibri" w:cs="Times New Roman"/>
    </w:rPr>
  </w:style>
  <w:style w:type="paragraph" w:styleId="Stopka">
    <w:name w:val="footer"/>
    <w:basedOn w:val="Normalny"/>
    <w:link w:val="StopkaZnak"/>
    <w:uiPriority w:val="99"/>
    <w:unhideWhenUsed/>
    <w:rsid w:val="009719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7193D"/>
  </w:style>
  <w:style w:type="character" w:customStyle="1" w:styleId="h11">
    <w:name w:val="h11"/>
    <w:basedOn w:val="Domylnaczcionkaakapitu"/>
    <w:rsid w:val="002E7FCF"/>
    <w:rPr>
      <w:rFonts w:ascii="Verdana" w:hAnsi="Verdana" w:hint="default"/>
      <w:b/>
      <w:bCs/>
      <w:i w:val="0"/>
      <w:iCs w:val="0"/>
      <w:sz w:val="23"/>
      <w:szCs w:val="23"/>
    </w:rPr>
  </w:style>
  <w:style w:type="paragraph" w:customStyle="1" w:styleId="Default">
    <w:name w:val="Default"/>
    <w:rsid w:val="00CE1E3A"/>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68208">
      <w:bodyDiv w:val="1"/>
      <w:marLeft w:val="0"/>
      <w:marRight w:val="0"/>
      <w:marTop w:val="0"/>
      <w:marBottom w:val="0"/>
      <w:divBdr>
        <w:top w:val="none" w:sz="0" w:space="0" w:color="auto"/>
        <w:left w:val="none" w:sz="0" w:space="0" w:color="auto"/>
        <w:bottom w:val="none" w:sz="0" w:space="0" w:color="auto"/>
        <w:right w:val="none" w:sz="0" w:space="0" w:color="auto"/>
      </w:divBdr>
    </w:div>
    <w:div w:id="44063046">
      <w:bodyDiv w:val="1"/>
      <w:marLeft w:val="0"/>
      <w:marRight w:val="0"/>
      <w:marTop w:val="0"/>
      <w:marBottom w:val="0"/>
      <w:divBdr>
        <w:top w:val="none" w:sz="0" w:space="0" w:color="auto"/>
        <w:left w:val="none" w:sz="0" w:space="0" w:color="auto"/>
        <w:bottom w:val="none" w:sz="0" w:space="0" w:color="auto"/>
        <w:right w:val="none" w:sz="0" w:space="0" w:color="auto"/>
      </w:divBdr>
    </w:div>
    <w:div w:id="109395514">
      <w:bodyDiv w:val="1"/>
      <w:marLeft w:val="0"/>
      <w:marRight w:val="0"/>
      <w:marTop w:val="0"/>
      <w:marBottom w:val="0"/>
      <w:divBdr>
        <w:top w:val="none" w:sz="0" w:space="0" w:color="auto"/>
        <w:left w:val="none" w:sz="0" w:space="0" w:color="auto"/>
        <w:bottom w:val="none" w:sz="0" w:space="0" w:color="auto"/>
        <w:right w:val="none" w:sz="0" w:space="0" w:color="auto"/>
      </w:divBdr>
    </w:div>
    <w:div w:id="221792565">
      <w:bodyDiv w:val="1"/>
      <w:marLeft w:val="0"/>
      <w:marRight w:val="0"/>
      <w:marTop w:val="0"/>
      <w:marBottom w:val="0"/>
      <w:divBdr>
        <w:top w:val="none" w:sz="0" w:space="0" w:color="auto"/>
        <w:left w:val="none" w:sz="0" w:space="0" w:color="auto"/>
        <w:bottom w:val="none" w:sz="0" w:space="0" w:color="auto"/>
        <w:right w:val="none" w:sz="0" w:space="0" w:color="auto"/>
      </w:divBdr>
    </w:div>
    <w:div w:id="263155309">
      <w:bodyDiv w:val="1"/>
      <w:marLeft w:val="0"/>
      <w:marRight w:val="0"/>
      <w:marTop w:val="0"/>
      <w:marBottom w:val="0"/>
      <w:divBdr>
        <w:top w:val="none" w:sz="0" w:space="0" w:color="auto"/>
        <w:left w:val="none" w:sz="0" w:space="0" w:color="auto"/>
        <w:bottom w:val="none" w:sz="0" w:space="0" w:color="auto"/>
        <w:right w:val="none" w:sz="0" w:space="0" w:color="auto"/>
      </w:divBdr>
    </w:div>
    <w:div w:id="391736792">
      <w:bodyDiv w:val="1"/>
      <w:marLeft w:val="0"/>
      <w:marRight w:val="0"/>
      <w:marTop w:val="0"/>
      <w:marBottom w:val="0"/>
      <w:divBdr>
        <w:top w:val="none" w:sz="0" w:space="0" w:color="auto"/>
        <w:left w:val="none" w:sz="0" w:space="0" w:color="auto"/>
        <w:bottom w:val="none" w:sz="0" w:space="0" w:color="auto"/>
        <w:right w:val="none" w:sz="0" w:space="0" w:color="auto"/>
      </w:divBdr>
    </w:div>
    <w:div w:id="437874193">
      <w:bodyDiv w:val="1"/>
      <w:marLeft w:val="0"/>
      <w:marRight w:val="0"/>
      <w:marTop w:val="0"/>
      <w:marBottom w:val="0"/>
      <w:divBdr>
        <w:top w:val="none" w:sz="0" w:space="0" w:color="auto"/>
        <w:left w:val="none" w:sz="0" w:space="0" w:color="auto"/>
        <w:bottom w:val="none" w:sz="0" w:space="0" w:color="auto"/>
        <w:right w:val="none" w:sz="0" w:space="0" w:color="auto"/>
      </w:divBdr>
    </w:div>
    <w:div w:id="533805755">
      <w:bodyDiv w:val="1"/>
      <w:marLeft w:val="0"/>
      <w:marRight w:val="0"/>
      <w:marTop w:val="0"/>
      <w:marBottom w:val="0"/>
      <w:divBdr>
        <w:top w:val="none" w:sz="0" w:space="0" w:color="auto"/>
        <w:left w:val="none" w:sz="0" w:space="0" w:color="auto"/>
        <w:bottom w:val="none" w:sz="0" w:space="0" w:color="auto"/>
        <w:right w:val="none" w:sz="0" w:space="0" w:color="auto"/>
      </w:divBdr>
    </w:div>
    <w:div w:id="533931413">
      <w:bodyDiv w:val="1"/>
      <w:marLeft w:val="0"/>
      <w:marRight w:val="0"/>
      <w:marTop w:val="0"/>
      <w:marBottom w:val="0"/>
      <w:divBdr>
        <w:top w:val="none" w:sz="0" w:space="0" w:color="auto"/>
        <w:left w:val="none" w:sz="0" w:space="0" w:color="auto"/>
        <w:bottom w:val="none" w:sz="0" w:space="0" w:color="auto"/>
        <w:right w:val="none" w:sz="0" w:space="0" w:color="auto"/>
      </w:divBdr>
    </w:div>
    <w:div w:id="547376532">
      <w:bodyDiv w:val="1"/>
      <w:marLeft w:val="0"/>
      <w:marRight w:val="0"/>
      <w:marTop w:val="0"/>
      <w:marBottom w:val="0"/>
      <w:divBdr>
        <w:top w:val="none" w:sz="0" w:space="0" w:color="auto"/>
        <w:left w:val="none" w:sz="0" w:space="0" w:color="auto"/>
        <w:bottom w:val="none" w:sz="0" w:space="0" w:color="auto"/>
        <w:right w:val="none" w:sz="0" w:space="0" w:color="auto"/>
      </w:divBdr>
    </w:div>
    <w:div w:id="548759997">
      <w:bodyDiv w:val="1"/>
      <w:marLeft w:val="0"/>
      <w:marRight w:val="0"/>
      <w:marTop w:val="0"/>
      <w:marBottom w:val="0"/>
      <w:divBdr>
        <w:top w:val="none" w:sz="0" w:space="0" w:color="auto"/>
        <w:left w:val="none" w:sz="0" w:space="0" w:color="auto"/>
        <w:bottom w:val="none" w:sz="0" w:space="0" w:color="auto"/>
        <w:right w:val="none" w:sz="0" w:space="0" w:color="auto"/>
      </w:divBdr>
    </w:div>
    <w:div w:id="560483490">
      <w:bodyDiv w:val="1"/>
      <w:marLeft w:val="0"/>
      <w:marRight w:val="0"/>
      <w:marTop w:val="0"/>
      <w:marBottom w:val="0"/>
      <w:divBdr>
        <w:top w:val="none" w:sz="0" w:space="0" w:color="auto"/>
        <w:left w:val="none" w:sz="0" w:space="0" w:color="auto"/>
        <w:bottom w:val="none" w:sz="0" w:space="0" w:color="auto"/>
        <w:right w:val="none" w:sz="0" w:space="0" w:color="auto"/>
      </w:divBdr>
    </w:div>
    <w:div w:id="640156487">
      <w:bodyDiv w:val="1"/>
      <w:marLeft w:val="0"/>
      <w:marRight w:val="0"/>
      <w:marTop w:val="0"/>
      <w:marBottom w:val="0"/>
      <w:divBdr>
        <w:top w:val="none" w:sz="0" w:space="0" w:color="auto"/>
        <w:left w:val="none" w:sz="0" w:space="0" w:color="auto"/>
        <w:bottom w:val="none" w:sz="0" w:space="0" w:color="auto"/>
        <w:right w:val="none" w:sz="0" w:space="0" w:color="auto"/>
      </w:divBdr>
    </w:div>
    <w:div w:id="681203507">
      <w:bodyDiv w:val="1"/>
      <w:marLeft w:val="0"/>
      <w:marRight w:val="0"/>
      <w:marTop w:val="0"/>
      <w:marBottom w:val="0"/>
      <w:divBdr>
        <w:top w:val="none" w:sz="0" w:space="0" w:color="auto"/>
        <w:left w:val="none" w:sz="0" w:space="0" w:color="auto"/>
        <w:bottom w:val="none" w:sz="0" w:space="0" w:color="auto"/>
        <w:right w:val="none" w:sz="0" w:space="0" w:color="auto"/>
      </w:divBdr>
    </w:div>
    <w:div w:id="713506147">
      <w:bodyDiv w:val="1"/>
      <w:marLeft w:val="0"/>
      <w:marRight w:val="0"/>
      <w:marTop w:val="0"/>
      <w:marBottom w:val="0"/>
      <w:divBdr>
        <w:top w:val="none" w:sz="0" w:space="0" w:color="auto"/>
        <w:left w:val="none" w:sz="0" w:space="0" w:color="auto"/>
        <w:bottom w:val="none" w:sz="0" w:space="0" w:color="auto"/>
        <w:right w:val="none" w:sz="0" w:space="0" w:color="auto"/>
      </w:divBdr>
    </w:div>
    <w:div w:id="832720984">
      <w:bodyDiv w:val="1"/>
      <w:marLeft w:val="0"/>
      <w:marRight w:val="0"/>
      <w:marTop w:val="0"/>
      <w:marBottom w:val="0"/>
      <w:divBdr>
        <w:top w:val="none" w:sz="0" w:space="0" w:color="auto"/>
        <w:left w:val="none" w:sz="0" w:space="0" w:color="auto"/>
        <w:bottom w:val="none" w:sz="0" w:space="0" w:color="auto"/>
        <w:right w:val="none" w:sz="0" w:space="0" w:color="auto"/>
      </w:divBdr>
    </w:div>
    <w:div w:id="869608194">
      <w:bodyDiv w:val="1"/>
      <w:marLeft w:val="0"/>
      <w:marRight w:val="0"/>
      <w:marTop w:val="0"/>
      <w:marBottom w:val="0"/>
      <w:divBdr>
        <w:top w:val="none" w:sz="0" w:space="0" w:color="auto"/>
        <w:left w:val="none" w:sz="0" w:space="0" w:color="auto"/>
        <w:bottom w:val="none" w:sz="0" w:space="0" w:color="auto"/>
        <w:right w:val="none" w:sz="0" w:space="0" w:color="auto"/>
      </w:divBdr>
    </w:div>
    <w:div w:id="912279981">
      <w:bodyDiv w:val="1"/>
      <w:marLeft w:val="0"/>
      <w:marRight w:val="0"/>
      <w:marTop w:val="0"/>
      <w:marBottom w:val="0"/>
      <w:divBdr>
        <w:top w:val="none" w:sz="0" w:space="0" w:color="auto"/>
        <w:left w:val="none" w:sz="0" w:space="0" w:color="auto"/>
        <w:bottom w:val="none" w:sz="0" w:space="0" w:color="auto"/>
        <w:right w:val="none" w:sz="0" w:space="0" w:color="auto"/>
      </w:divBdr>
    </w:div>
    <w:div w:id="931166029">
      <w:bodyDiv w:val="1"/>
      <w:marLeft w:val="0"/>
      <w:marRight w:val="0"/>
      <w:marTop w:val="0"/>
      <w:marBottom w:val="0"/>
      <w:divBdr>
        <w:top w:val="none" w:sz="0" w:space="0" w:color="auto"/>
        <w:left w:val="none" w:sz="0" w:space="0" w:color="auto"/>
        <w:bottom w:val="none" w:sz="0" w:space="0" w:color="auto"/>
        <w:right w:val="none" w:sz="0" w:space="0" w:color="auto"/>
      </w:divBdr>
    </w:div>
    <w:div w:id="966936913">
      <w:bodyDiv w:val="1"/>
      <w:marLeft w:val="0"/>
      <w:marRight w:val="0"/>
      <w:marTop w:val="0"/>
      <w:marBottom w:val="0"/>
      <w:divBdr>
        <w:top w:val="none" w:sz="0" w:space="0" w:color="auto"/>
        <w:left w:val="none" w:sz="0" w:space="0" w:color="auto"/>
        <w:bottom w:val="none" w:sz="0" w:space="0" w:color="auto"/>
        <w:right w:val="none" w:sz="0" w:space="0" w:color="auto"/>
      </w:divBdr>
    </w:div>
    <w:div w:id="1047071228">
      <w:bodyDiv w:val="1"/>
      <w:marLeft w:val="0"/>
      <w:marRight w:val="0"/>
      <w:marTop w:val="0"/>
      <w:marBottom w:val="0"/>
      <w:divBdr>
        <w:top w:val="none" w:sz="0" w:space="0" w:color="auto"/>
        <w:left w:val="none" w:sz="0" w:space="0" w:color="auto"/>
        <w:bottom w:val="none" w:sz="0" w:space="0" w:color="auto"/>
        <w:right w:val="none" w:sz="0" w:space="0" w:color="auto"/>
      </w:divBdr>
    </w:div>
    <w:div w:id="1059481809">
      <w:bodyDiv w:val="1"/>
      <w:marLeft w:val="0"/>
      <w:marRight w:val="0"/>
      <w:marTop w:val="0"/>
      <w:marBottom w:val="0"/>
      <w:divBdr>
        <w:top w:val="none" w:sz="0" w:space="0" w:color="auto"/>
        <w:left w:val="none" w:sz="0" w:space="0" w:color="auto"/>
        <w:bottom w:val="none" w:sz="0" w:space="0" w:color="auto"/>
        <w:right w:val="none" w:sz="0" w:space="0" w:color="auto"/>
      </w:divBdr>
    </w:div>
    <w:div w:id="1138180085">
      <w:bodyDiv w:val="1"/>
      <w:marLeft w:val="0"/>
      <w:marRight w:val="0"/>
      <w:marTop w:val="0"/>
      <w:marBottom w:val="0"/>
      <w:divBdr>
        <w:top w:val="none" w:sz="0" w:space="0" w:color="auto"/>
        <w:left w:val="none" w:sz="0" w:space="0" w:color="auto"/>
        <w:bottom w:val="none" w:sz="0" w:space="0" w:color="auto"/>
        <w:right w:val="none" w:sz="0" w:space="0" w:color="auto"/>
      </w:divBdr>
    </w:div>
    <w:div w:id="1173834463">
      <w:bodyDiv w:val="1"/>
      <w:marLeft w:val="0"/>
      <w:marRight w:val="0"/>
      <w:marTop w:val="0"/>
      <w:marBottom w:val="0"/>
      <w:divBdr>
        <w:top w:val="none" w:sz="0" w:space="0" w:color="auto"/>
        <w:left w:val="none" w:sz="0" w:space="0" w:color="auto"/>
        <w:bottom w:val="none" w:sz="0" w:space="0" w:color="auto"/>
        <w:right w:val="none" w:sz="0" w:space="0" w:color="auto"/>
      </w:divBdr>
    </w:div>
    <w:div w:id="1190798444">
      <w:bodyDiv w:val="1"/>
      <w:marLeft w:val="0"/>
      <w:marRight w:val="0"/>
      <w:marTop w:val="0"/>
      <w:marBottom w:val="0"/>
      <w:divBdr>
        <w:top w:val="none" w:sz="0" w:space="0" w:color="auto"/>
        <w:left w:val="none" w:sz="0" w:space="0" w:color="auto"/>
        <w:bottom w:val="none" w:sz="0" w:space="0" w:color="auto"/>
        <w:right w:val="none" w:sz="0" w:space="0" w:color="auto"/>
      </w:divBdr>
    </w:div>
    <w:div w:id="1254898076">
      <w:bodyDiv w:val="1"/>
      <w:marLeft w:val="0"/>
      <w:marRight w:val="0"/>
      <w:marTop w:val="0"/>
      <w:marBottom w:val="0"/>
      <w:divBdr>
        <w:top w:val="none" w:sz="0" w:space="0" w:color="auto"/>
        <w:left w:val="none" w:sz="0" w:space="0" w:color="auto"/>
        <w:bottom w:val="none" w:sz="0" w:space="0" w:color="auto"/>
        <w:right w:val="none" w:sz="0" w:space="0" w:color="auto"/>
      </w:divBdr>
    </w:div>
    <w:div w:id="1285888540">
      <w:bodyDiv w:val="1"/>
      <w:marLeft w:val="0"/>
      <w:marRight w:val="0"/>
      <w:marTop w:val="0"/>
      <w:marBottom w:val="0"/>
      <w:divBdr>
        <w:top w:val="none" w:sz="0" w:space="0" w:color="auto"/>
        <w:left w:val="none" w:sz="0" w:space="0" w:color="auto"/>
        <w:bottom w:val="none" w:sz="0" w:space="0" w:color="auto"/>
        <w:right w:val="none" w:sz="0" w:space="0" w:color="auto"/>
      </w:divBdr>
    </w:div>
    <w:div w:id="1394933974">
      <w:bodyDiv w:val="1"/>
      <w:marLeft w:val="0"/>
      <w:marRight w:val="0"/>
      <w:marTop w:val="0"/>
      <w:marBottom w:val="0"/>
      <w:divBdr>
        <w:top w:val="none" w:sz="0" w:space="0" w:color="auto"/>
        <w:left w:val="none" w:sz="0" w:space="0" w:color="auto"/>
        <w:bottom w:val="none" w:sz="0" w:space="0" w:color="auto"/>
        <w:right w:val="none" w:sz="0" w:space="0" w:color="auto"/>
      </w:divBdr>
    </w:div>
    <w:div w:id="1425494451">
      <w:bodyDiv w:val="1"/>
      <w:marLeft w:val="0"/>
      <w:marRight w:val="0"/>
      <w:marTop w:val="0"/>
      <w:marBottom w:val="0"/>
      <w:divBdr>
        <w:top w:val="none" w:sz="0" w:space="0" w:color="auto"/>
        <w:left w:val="none" w:sz="0" w:space="0" w:color="auto"/>
        <w:bottom w:val="none" w:sz="0" w:space="0" w:color="auto"/>
        <w:right w:val="none" w:sz="0" w:space="0" w:color="auto"/>
      </w:divBdr>
    </w:div>
    <w:div w:id="1440297215">
      <w:bodyDiv w:val="1"/>
      <w:marLeft w:val="0"/>
      <w:marRight w:val="0"/>
      <w:marTop w:val="0"/>
      <w:marBottom w:val="0"/>
      <w:divBdr>
        <w:top w:val="none" w:sz="0" w:space="0" w:color="auto"/>
        <w:left w:val="none" w:sz="0" w:space="0" w:color="auto"/>
        <w:bottom w:val="none" w:sz="0" w:space="0" w:color="auto"/>
        <w:right w:val="none" w:sz="0" w:space="0" w:color="auto"/>
      </w:divBdr>
    </w:div>
    <w:div w:id="1441484446">
      <w:bodyDiv w:val="1"/>
      <w:marLeft w:val="0"/>
      <w:marRight w:val="0"/>
      <w:marTop w:val="0"/>
      <w:marBottom w:val="0"/>
      <w:divBdr>
        <w:top w:val="none" w:sz="0" w:space="0" w:color="auto"/>
        <w:left w:val="none" w:sz="0" w:space="0" w:color="auto"/>
        <w:bottom w:val="none" w:sz="0" w:space="0" w:color="auto"/>
        <w:right w:val="none" w:sz="0" w:space="0" w:color="auto"/>
      </w:divBdr>
    </w:div>
    <w:div w:id="1495951895">
      <w:bodyDiv w:val="1"/>
      <w:marLeft w:val="0"/>
      <w:marRight w:val="0"/>
      <w:marTop w:val="0"/>
      <w:marBottom w:val="0"/>
      <w:divBdr>
        <w:top w:val="none" w:sz="0" w:space="0" w:color="auto"/>
        <w:left w:val="none" w:sz="0" w:space="0" w:color="auto"/>
        <w:bottom w:val="none" w:sz="0" w:space="0" w:color="auto"/>
        <w:right w:val="none" w:sz="0" w:space="0" w:color="auto"/>
      </w:divBdr>
    </w:div>
    <w:div w:id="1592473958">
      <w:bodyDiv w:val="1"/>
      <w:marLeft w:val="0"/>
      <w:marRight w:val="0"/>
      <w:marTop w:val="0"/>
      <w:marBottom w:val="0"/>
      <w:divBdr>
        <w:top w:val="none" w:sz="0" w:space="0" w:color="auto"/>
        <w:left w:val="none" w:sz="0" w:space="0" w:color="auto"/>
        <w:bottom w:val="none" w:sz="0" w:space="0" w:color="auto"/>
        <w:right w:val="none" w:sz="0" w:space="0" w:color="auto"/>
      </w:divBdr>
    </w:div>
    <w:div w:id="1643463667">
      <w:bodyDiv w:val="1"/>
      <w:marLeft w:val="0"/>
      <w:marRight w:val="0"/>
      <w:marTop w:val="0"/>
      <w:marBottom w:val="0"/>
      <w:divBdr>
        <w:top w:val="none" w:sz="0" w:space="0" w:color="auto"/>
        <w:left w:val="none" w:sz="0" w:space="0" w:color="auto"/>
        <w:bottom w:val="none" w:sz="0" w:space="0" w:color="auto"/>
        <w:right w:val="none" w:sz="0" w:space="0" w:color="auto"/>
      </w:divBdr>
    </w:div>
    <w:div w:id="1729571994">
      <w:bodyDiv w:val="1"/>
      <w:marLeft w:val="0"/>
      <w:marRight w:val="0"/>
      <w:marTop w:val="0"/>
      <w:marBottom w:val="0"/>
      <w:divBdr>
        <w:top w:val="none" w:sz="0" w:space="0" w:color="auto"/>
        <w:left w:val="none" w:sz="0" w:space="0" w:color="auto"/>
        <w:bottom w:val="none" w:sz="0" w:space="0" w:color="auto"/>
        <w:right w:val="none" w:sz="0" w:space="0" w:color="auto"/>
      </w:divBdr>
    </w:div>
    <w:div w:id="1731339971">
      <w:bodyDiv w:val="1"/>
      <w:marLeft w:val="0"/>
      <w:marRight w:val="0"/>
      <w:marTop w:val="0"/>
      <w:marBottom w:val="0"/>
      <w:divBdr>
        <w:top w:val="none" w:sz="0" w:space="0" w:color="auto"/>
        <w:left w:val="none" w:sz="0" w:space="0" w:color="auto"/>
        <w:bottom w:val="none" w:sz="0" w:space="0" w:color="auto"/>
        <w:right w:val="none" w:sz="0" w:space="0" w:color="auto"/>
      </w:divBdr>
    </w:div>
    <w:div w:id="1736775705">
      <w:bodyDiv w:val="1"/>
      <w:marLeft w:val="0"/>
      <w:marRight w:val="0"/>
      <w:marTop w:val="0"/>
      <w:marBottom w:val="0"/>
      <w:divBdr>
        <w:top w:val="none" w:sz="0" w:space="0" w:color="auto"/>
        <w:left w:val="none" w:sz="0" w:space="0" w:color="auto"/>
        <w:bottom w:val="none" w:sz="0" w:space="0" w:color="auto"/>
        <w:right w:val="none" w:sz="0" w:space="0" w:color="auto"/>
      </w:divBdr>
    </w:div>
    <w:div w:id="1765955745">
      <w:bodyDiv w:val="1"/>
      <w:marLeft w:val="0"/>
      <w:marRight w:val="0"/>
      <w:marTop w:val="0"/>
      <w:marBottom w:val="0"/>
      <w:divBdr>
        <w:top w:val="none" w:sz="0" w:space="0" w:color="auto"/>
        <w:left w:val="none" w:sz="0" w:space="0" w:color="auto"/>
        <w:bottom w:val="none" w:sz="0" w:space="0" w:color="auto"/>
        <w:right w:val="none" w:sz="0" w:space="0" w:color="auto"/>
      </w:divBdr>
    </w:div>
    <w:div w:id="1766266976">
      <w:bodyDiv w:val="1"/>
      <w:marLeft w:val="0"/>
      <w:marRight w:val="0"/>
      <w:marTop w:val="0"/>
      <w:marBottom w:val="0"/>
      <w:divBdr>
        <w:top w:val="none" w:sz="0" w:space="0" w:color="auto"/>
        <w:left w:val="none" w:sz="0" w:space="0" w:color="auto"/>
        <w:bottom w:val="none" w:sz="0" w:space="0" w:color="auto"/>
        <w:right w:val="none" w:sz="0" w:space="0" w:color="auto"/>
      </w:divBdr>
    </w:div>
    <w:div w:id="1783987756">
      <w:bodyDiv w:val="1"/>
      <w:marLeft w:val="0"/>
      <w:marRight w:val="0"/>
      <w:marTop w:val="0"/>
      <w:marBottom w:val="0"/>
      <w:divBdr>
        <w:top w:val="none" w:sz="0" w:space="0" w:color="auto"/>
        <w:left w:val="none" w:sz="0" w:space="0" w:color="auto"/>
        <w:bottom w:val="none" w:sz="0" w:space="0" w:color="auto"/>
        <w:right w:val="none" w:sz="0" w:space="0" w:color="auto"/>
      </w:divBdr>
    </w:div>
    <w:div w:id="1798908383">
      <w:bodyDiv w:val="1"/>
      <w:marLeft w:val="0"/>
      <w:marRight w:val="0"/>
      <w:marTop w:val="0"/>
      <w:marBottom w:val="0"/>
      <w:divBdr>
        <w:top w:val="none" w:sz="0" w:space="0" w:color="auto"/>
        <w:left w:val="none" w:sz="0" w:space="0" w:color="auto"/>
        <w:bottom w:val="none" w:sz="0" w:space="0" w:color="auto"/>
        <w:right w:val="none" w:sz="0" w:space="0" w:color="auto"/>
      </w:divBdr>
    </w:div>
    <w:div w:id="1880045701">
      <w:bodyDiv w:val="1"/>
      <w:marLeft w:val="0"/>
      <w:marRight w:val="0"/>
      <w:marTop w:val="0"/>
      <w:marBottom w:val="0"/>
      <w:divBdr>
        <w:top w:val="none" w:sz="0" w:space="0" w:color="auto"/>
        <w:left w:val="none" w:sz="0" w:space="0" w:color="auto"/>
        <w:bottom w:val="none" w:sz="0" w:space="0" w:color="auto"/>
        <w:right w:val="none" w:sz="0" w:space="0" w:color="auto"/>
      </w:divBdr>
    </w:div>
    <w:div w:id="1897862486">
      <w:bodyDiv w:val="1"/>
      <w:marLeft w:val="0"/>
      <w:marRight w:val="0"/>
      <w:marTop w:val="0"/>
      <w:marBottom w:val="0"/>
      <w:divBdr>
        <w:top w:val="none" w:sz="0" w:space="0" w:color="auto"/>
        <w:left w:val="none" w:sz="0" w:space="0" w:color="auto"/>
        <w:bottom w:val="none" w:sz="0" w:space="0" w:color="auto"/>
        <w:right w:val="none" w:sz="0" w:space="0" w:color="auto"/>
      </w:divBdr>
    </w:div>
    <w:div w:id="1941252673">
      <w:bodyDiv w:val="1"/>
      <w:marLeft w:val="0"/>
      <w:marRight w:val="0"/>
      <w:marTop w:val="0"/>
      <w:marBottom w:val="0"/>
      <w:divBdr>
        <w:top w:val="none" w:sz="0" w:space="0" w:color="auto"/>
        <w:left w:val="none" w:sz="0" w:space="0" w:color="auto"/>
        <w:bottom w:val="none" w:sz="0" w:space="0" w:color="auto"/>
        <w:right w:val="none" w:sz="0" w:space="0" w:color="auto"/>
      </w:divBdr>
    </w:div>
    <w:div w:id="1947082525">
      <w:bodyDiv w:val="1"/>
      <w:marLeft w:val="0"/>
      <w:marRight w:val="0"/>
      <w:marTop w:val="0"/>
      <w:marBottom w:val="0"/>
      <w:divBdr>
        <w:top w:val="none" w:sz="0" w:space="0" w:color="auto"/>
        <w:left w:val="none" w:sz="0" w:space="0" w:color="auto"/>
        <w:bottom w:val="none" w:sz="0" w:space="0" w:color="auto"/>
        <w:right w:val="none" w:sz="0" w:space="0" w:color="auto"/>
      </w:divBdr>
    </w:div>
    <w:div w:id="1952665312">
      <w:bodyDiv w:val="1"/>
      <w:marLeft w:val="0"/>
      <w:marRight w:val="0"/>
      <w:marTop w:val="0"/>
      <w:marBottom w:val="0"/>
      <w:divBdr>
        <w:top w:val="none" w:sz="0" w:space="0" w:color="auto"/>
        <w:left w:val="none" w:sz="0" w:space="0" w:color="auto"/>
        <w:bottom w:val="none" w:sz="0" w:space="0" w:color="auto"/>
        <w:right w:val="none" w:sz="0" w:space="0" w:color="auto"/>
      </w:divBdr>
    </w:div>
    <w:div w:id="1955289537">
      <w:bodyDiv w:val="1"/>
      <w:marLeft w:val="0"/>
      <w:marRight w:val="0"/>
      <w:marTop w:val="0"/>
      <w:marBottom w:val="0"/>
      <w:divBdr>
        <w:top w:val="none" w:sz="0" w:space="0" w:color="auto"/>
        <w:left w:val="none" w:sz="0" w:space="0" w:color="auto"/>
        <w:bottom w:val="none" w:sz="0" w:space="0" w:color="auto"/>
        <w:right w:val="none" w:sz="0" w:space="0" w:color="auto"/>
      </w:divBdr>
    </w:div>
    <w:div w:id="1974480835">
      <w:bodyDiv w:val="1"/>
      <w:marLeft w:val="0"/>
      <w:marRight w:val="0"/>
      <w:marTop w:val="0"/>
      <w:marBottom w:val="0"/>
      <w:divBdr>
        <w:top w:val="none" w:sz="0" w:space="0" w:color="auto"/>
        <w:left w:val="none" w:sz="0" w:space="0" w:color="auto"/>
        <w:bottom w:val="none" w:sz="0" w:space="0" w:color="auto"/>
        <w:right w:val="none" w:sz="0" w:space="0" w:color="auto"/>
      </w:divBdr>
    </w:div>
    <w:div w:id="2022051036">
      <w:bodyDiv w:val="1"/>
      <w:marLeft w:val="0"/>
      <w:marRight w:val="0"/>
      <w:marTop w:val="0"/>
      <w:marBottom w:val="0"/>
      <w:divBdr>
        <w:top w:val="none" w:sz="0" w:space="0" w:color="auto"/>
        <w:left w:val="none" w:sz="0" w:space="0" w:color="auto"/>
        <w:bottom w:val="none" w:sz="0" w:space="0" w:color="auto"/>
        <w:right w:val="none" w:sz="0" w:space="0" w:color="auto"/>
      </w:divBdr>
    </w:div>
    <w:div w:id="2035376459">
      <w:bodyDiv w:val="1"/>
      <w:marLeft w:val="0"/>
      <w:marRight w:val="0"/>
      <w:marTop w:val="0"/>
      <w:marBottom w:val="0"/>
      <w:divBdr>
        <w:top w:val="none" w:sz="0" w:space="0" w:color="auto"/>
        <w:left w:val="none" w:sz="0" w:space="0" w:color="auto"/>
        <w:bottom w:val="none" w:sz="0" w:space="0" w:color="auto"/>
        <w:right w:val="none" w:sz="0" w:space="0" w:color="auto"/>
      </w:divBdr>
    </w:div>
    <w:div w:id="2076275164">
      <w:bodyDiv w:val="1"/>
      <w:marLeft w:val="0"/>
      <w:marRight w:val="0"/>
      <w:marTop w:val="0"/>
      <w:marBottom w:val="0"/>
      <w:divBdr>
        <w:top w:val="none" w:sz="0" w:space="0" w:color="auto"/>
        <w:left w:val="none" w:sz="0" w:space="0" w:color="auto"/>
        <w:bottom w:val="none" w:sz="0" w:space="0" w:color="auto"/>
        <w:right w:val="none" w:sz="0" w:space="0" w:color="auto"/>
      </w:divBdr>
    </w:div>
    <w:div w:id="20931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9C23C-8542-4B39-99CB-896A36F9D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9A373D0E.dotm</Template>
  <TotalTime>0</TotalTime>
  <Pages>5</Pages>
  <Words>1561</Words>
  <Characters>9369</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GrECo International Holding AG</Company>
  <LinksUpToDate>false</LinksUpToDate>
  <CharactersWithSpaces>10909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Cichowski Łukasz - GrECo JLT PL</dc:creator>
  <cp:lastModifiedBy>Cichowski Łukasz - GrECo JLT PL</cp:lastModifiedBy>
  <cp:revision>31</cp:revision>
  <cp:lastPrinted>2014-11-12T12:33:00Z</cp:lastPrinted>
  <dcterms:created xsi:type="dcterms:W3CDTF">2014-12-02T14:27:00Z</dcterms:created>
  <dcterms:modified xsi:type="dcterms:W3CDTF">2015-05-15T09:50:00Z</dcterms:modified>
</cp:coreProperties>
</file>