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F8D" w:rsidRDefault="00941F9E">
      <w:pPr>
        <w:rPr>
          <w:rFonts w:ascii="Times New Roman" w:hAnsi="Times New Roman" w:cs="Times New Roman"/>
          <w:b/>
          <w:sz w:val="24"/>
          <w:szCs w:val="24"/>
        </w:rPr>
      </w:pPr>
      <w:r w:rsidRPr="00941F9E">
        <w:rPr>
          <w:rFonts w:ascii="Times New Roman" w:hAnsi="Times New Roman" w:cs="Times New Roman"/>
          <w:b/>
          <w:sz w:val="24"/>
          <w:szCs w:val="24"/>
        </w:rPr>
        <w:t xml:space="preserve">Przedmiot zamówienia: </w:t>
      </w:r>
      <w:r w:rsidR="005736E5">
        <w:rPr>
          <w:rFonts w:ascii="Times New Roman" w:hAnsi="Times New Roman" w:cs="Times New Roman"/>
          <w:b/>
          <w:sz w:val="24"/>
          <w:szCs w:val="24"/>
        </w:rPr>
        <w:t>Diatermia z przystawką argonową                      Załącznik nr 2</w:t>
      </w:r>
    </w:p>
    <w:tbl>
      <w:tblPr>
        <w:tblStyle w:val="Tabela-Siatka"/>
        <w:tblpPr w:leftFromText="141" w:rightFromText="141" w:vertAnchor="page" w:horzAnchor="margin" w:tblpY="2107"/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Parametry 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bCs/>
              </w:rPr>
              <w:t>Diatermia z przystawką argonową i funkcją głębokiego zamykania naczyń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F9E" w:rsidRPr="00941F9E" w:rsidRDefault="00941F9E" w:rsidP="00941F9E">
            <w:pPr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Rok produkcji </w:t>
            </w:r>
            <w:r>
              <w:rPr>
                <w:rFonts w:ascii="Times New Roman" w:hAnsi="Times New Roman" w:cs="Times New Roman"/>
              </w:rPr>
              <w:t>2016</w:t>
            </w:r>
            <w:r w:rsidRPr="00941F9E">
              <w:rPr>
                <w:rFonts w:ascii="Times New Roman" w:hAnsi="Times New Roman" w:cs="Times New Roman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Jednostka sterująca z wielokolorowym wyświetlaczem TFT o przekątnej min 6”, obrazującym parametry urządzenia, służącym do komunikacji użytkownik-aparat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Monitor mocy z możliwo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ś</w:t>
            </w:r>
            <w:r w:rsidRPr="00941F9E">
              <w:rPr>
                <w:rFonts w:ascii="Times New Roman" w:hAnsi="Times New Roman" w:cs="Times New Roman"/>
                <w:color w:val="000000"/>
              </w:rPr>
              <w:t>ci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 xml:space="preserve">ą </w:t>
            </w:r>
            <w:r w:rsidRPr="00941F9E">
              <w:rPr>
                <w:rFonts w:ascii="Times New Roman" w:hAnsi="Times New Roman" w:cs="Times New Roman"/>
                <w:color w:val="000000"/>
              </w:rPr>
              <w:t>wizualizacji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cyfrowej na wy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ś</w:t>
            </w:r>
            <w:r w:rsidRPr="00941F9E">
              <w:rPr>
                <w:rFonts w:ascii="Times New Roman" w:hAnsi="Times New Roman" w:cs="Times New Roman"/>
                <w:color w:val="000000"/>
              </w:rPr>
              <w:t>wietlaczu i wizualizacji innej np. w postaci linijki.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- 0pkt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Oprogramowanie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Możliwość zapamiętania min. 90 programów w przez jednostkę sterującą i zapisania ich pod wieloznakową nazwą procedury lub nazwiskiem lekarza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Sygnalizacja dźwiękowa i wizualna awarii z wyświetleniem kodu błędu i opisem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Ilość gniazd przyłączeniowych: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proofErr w:type="spellStart"/>
            <w:r w:rsidRPr="00941F9E">
              <w:rPr>
                <w:rFonts w:ascii="Times New Roman" w:hAnsi="Times New Roman" w:cs="Times New Roman"/>
              </w:rPr>
              <w:t>monopolarne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– min. 1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bipolarne – min. 1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zamykania naczyń - 1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argonowe – 1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elektrody neutralnej –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Gniazdo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monopolarne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umożliwiające bezpośrednie podłączenie narzędzi w 3 różnych systemach (wtyczka 3-bolcowa, 1-bolcowa o średnicy 4 mm, 1-bolcowa o średnicy 5mm) bez użycia dodatkowych adapterów.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Gniazda bipolarne umożliwiające bezpośrednie podłączenie narzędzi w 3 różnych systemach (wtyczka standard, wtyczka 29 mm, wtyczka 22 mm) bez użycia dodatkowych adapterów.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Możliwo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 xml:space="preserve">ść </w:t>
            </w:r>
            <w:r w:rsidRPr="00941F9E">
              <w:rPr>
                <w:rFonts w:ascii="Times New Roman" w:hAnsi="Times New Roman" w:cs="Times New Roman"/>
                <w:color w:val="000000"/>
              </w:rPr>
              <w:t>podł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ą</w:t>
            </w:r>
            <w:r w:rsidRPr="00941F9E">
              <w:rPr>
                <w:rFonts w:ascii="Times New Roman" w:hAnsi="Times New Roman" w:cs="Times New Roman"/>
                <w:color w:val="000000"/>
              </w:rPr>
              <w:t>czenia do urz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ą</w:t>
            </w:r>
            <w:r w:rsidRPr="00941F9E">
              <w:rPr>
                <w:rFonts w:ascii="Times New Roman" w:hAnsi="Times New Roman" w:cs="Times New Roman"/>
                <w:color w:val="000000"/>
              </w:rPr>
              <w:t>dzenia dwóch wył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ą</w:t>
            </w:r>
            <w:r w:rsidRPr="00941F9E">
              <w:rPr>
                <w:rFonts w:ascii="Times New Roman" w:hAnsi="Times New Roman" w:cs="Times New Roman"/>
                <w:color w:val="000000"/>
              </w:rPr>
              <w:t>czników nożnych do aktywacji ci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ę</w:t>
            </w:r>
            <w:r w:rsidRPr="00941F9E">
              <w:rPr>
                <w:rFonts w:ascii="Times New Roman" w:hAnsi="Times New Roman" w:cs="Times New Roman"/>
                <w:color w:val="000000"/>
              </w:rPr>
              <w:t>cia i koagulacji mono- i bipolarnych.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Regulacja intensywnością cięcia i koagulacji oraz możliwość zmiany trybów pracy przy pomocy włącznik nożnego i uchwytu do koagulacji i cięcia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Aparat posiadający funkcję redukowania wyświetlanych informacji o najistotniejszych, pokazujących wyłącznie parametry pracy aktualnie wykorzystywanego instrumentu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Maksymalna moc wyjściowa cięcia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monopolarnego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do 300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[W] regulowana z dokładnością 1 W </w:t>
            </w:r>
            <w:proofErr w:type="spellStart"/>
            <w:r w:rsidRPr="00941F9E">
              <w:rPr>
                <w:rFonts w:ascii="Times New Roman" w:hAnsi="Times New Roman" w:cs="Times New Roman"/>
              </w:rPr>
              <w:t>w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całym zakresie mocy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Minimum 4 trybów – rodzajów cięcia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monopolarnego</w:t>
            </w:r>
            <w:proofErr w:type="spellEnd"/>
            <w:r w:rsidRPr="00941F9E">
              <w:rPr>
                <w:rFonts w:ascii="Times New Roman" w:hAnsi="Times New Roman" w:cs="Times New Roman"/>
                <w:color w:val="000000"/>
              </w:rPr>
              <w:t xml:space="preserve"> (mikrochirurgiczny, delikatny, wysokowydajny, hemostatyczny)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Maksymalna moc znamionowa koagulacji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monopolarnej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200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[W] regulowana z dokładnością 1 W </w:t>
            </w:r>
            <w:proofErr w:type="spellStart"/>
            <w:r w:rsidRPr="00941F9E">
              <w:rPr>
                <w:rFonts w:ascii="Times New Roman" w:hAnsi="Times New Roman" w:cs="Times New Roman"/>
              </w:rPr>
              <w:t>w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całym zakresie mocy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Minimum trzy rodzaje/ tryby koagulacji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monopolarnej</w:t>
            </w:r>
            <w:proofErr w:type="spellEnd"/>
            <w:r w:rsidRPr="00941F9E">
              <w:rPr>
                <w:rFonts w:ascii="Times New Roman" w:hAnsi="Times New Roman" w:cs="Times New Roman"/>
              </w:rPr>
              <w:t>: (delikatna, intensywna i preparująca)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 xml:space="preserve">Moc koagulacji </w:t>
            </w:r>
            <w:proofErr w:type="spellStart"/>
            <w:r w:rsidRPr="00941F9E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941F9E">
              <w:rPr>
                <w:rFonts w:ascii="Times New Roman" w:hAnsi="Times New Roman" w:cs="Times New Roman"/>
                <w:color w:val="000000"/>
              </w:rPr>
              <w:t xml:space="preserve">  typu natryskowego regulowana do  min. 120[W]  dla pracy tradycyjnej i w osłonie argonu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Maksymalna moc wyjściowa koagulacji bipolarnej120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Aktywacja funkcji bipolarnej: pedał i / lub funkcja auto-start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Możliwość samodzielnej regulacji przez personel medyczny czasu opóźnienia funkcji auto-start z dokładnością do co najmniej 0,1 sekundy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Rozpoznawanie przyłączonych instrumentów argonowych i automatyczne dobieranie parametrów przepływu argonu.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Regulacja przepływu argonu w zakresie min. 0,2 – 8,0 l / min.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Możliwość podłączenia specjalistycznego instrumentarium argonowego przeznaczonego do cięcia i koagulacji bez wymiany elektrody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Minimalna moc cięcia w osłonie argonu  300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Minimum  8 efektów (głębokości) cięcia możliwych do uzyskania podczas cięcia w osłonie argonu dla jednego rodzaju cięcia w osłonie argonu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Minimum 3 różne rodzaje / tryby cięcia w osłonie argonu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Minimalna moc  koagulacji w osłonie argonu  120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Minimum 3 różne rodzaje / tryby koagulacji argonowej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Regulacja głębokości koagulacji argonowej – minimum dwa stopnie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Tryb zamykania naczyń krwionośnych o średnicy do 7mm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Minimalna moc trybu zamykania naczyń 300 </w:t>
            </w:r>
            <w:r w:rsidRPr="00941F9E">
              <w:rPr>
                <w:rFonts w:ascii="Times New Roman" w:hAnsi="Times New Roman" w:cs="Times New Roman"/>
                <w:u w:val="single"/>
              </w:rPr>
              <w:t>+</w:t>
            </w:r>
            <w:r w:rsidRPr="00941F9E">
              <w:rPr>
                <w:rFonts w:ascii="Times New Roman" w:hAnsi="Times New Roman" w:cs="Times New Roman"/>
              </w:rPr>
              <w:t xml:space="preserve"> 10 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Tryb zamykania naczyń z funkcją auto stop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Regulacja intensywności działania w  4-stopniowej skali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Automatyczne ko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ń</w:t>
            </w:r>
            <w:r w:rsidRPr="00941F9E">
              <w:rPr>
                <w:rFonts w:ascii="Times New Roman" w:hAnsi="Times New Roman" w:cs="Times New Roman"/>
                <w:color w:val="000000"/>
              </w:rPr>
              <w:t>czenie procesu zamykania naczy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 xml:space="preserve">ń </w:t>
            </w:r>
            <w:r w:rsidRPr="00941F9E">
              <w:rPr>
                <w:rFonts w:ascii="Times New Roman" w:hAnsi="Times New Roman" w:cs="Times New Roman"/>
                <w:color w:val="000000"/>
              </w:rPr>
              <w:t>potwierdzone sygnałem d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ź</w:t>
            </w:r>
            <w:r w:rsidRPr="00941F9E">
              <w:rPr>
                <w:rFonts w:ascii="Times New Roman" w:hAnsi="Times New Roman" w:cs="Times New Roman"/>
                <w:color w:val="000000"/>
              </w:rPr>
              <w:t>wi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ę</w:t>
            </w:r>
            <w:r w:rsidRPr="00941F9E">
              <w:rPr>
                <w:rFonts w:ascii="Times New Roman" w:hAnsi="Times New Roman" w:cs="Times New Roman"/>
                <w:color w:val="000000"/>
              </w:rPr>
              <w:t>kowym.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Rozpoznawanie podł</w:t>
            </w:r>
            <w:r w:rsidRPr="00941F9E">
              <w:rPr>
                <w:rFonts w:ascii="Times New Roman" w:eastAsia="TimesNewRoman" w:hAnsi="Times New Roman" w:cs="Times New Roman"/>
                <w:color w:val="000000"/>
              </w:rPr>
              <w:t>ą</w:t>
            </w:r>
            <w:r w:rsidRPr="00941F9E">
              <w:rPr>
                <w:rFonts w:ascii="Times New Roman" w:hAnsi="Times New Roman" w:cs="Times New Roman"/>
                <w:color w:val="000000"/>
              </w:rPr>
              <w:t>czonych instrumentów i automatyczne dobieranie optymalnych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parametrów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Funkcja bezpiecznego cięcia bipolarnego i koagulacji bipolarnej w soli fizjologicznej (</w:t>
            </w:r>
            <w:proofErr w:type="spellStart"/>
            <w:r w:rsidRPr="00941F9E">
              <w:rPr>
                <w:rFonts w:ascii="Times New Roman" w:hAnsi="Times New Roman" w:cs="Times New Roman"/>
                <w:color w:val="000000"/>
              </w:rPr>
              <w:t>elektroresekcja</w:t>
            </w:r>
            <w:proofErr w:type="spellEnd"/>
            <w:r w:rsidRPr="00941F9E">
              <w:rPr>
                <w:rFonts w:ascii="Times New Roman" w:hAnsi="Times New Roman" w:cs="Times New Roman"/>
                <w:color w:val="000000"/>
              </w:rPr>
              <w:t xml:space="preserve">  bipolarna ) automatycznie dobierana moc cięcia  min. 370 [W]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 – 10pkt</w:t>
            </w:r>
          </w:p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System bezpieczeństwa elektrody neutralnej monitorujący: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- jakość przylegania elektrody neutralnej (pomiar symetrii),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- kontakt między elektrodą neutralną a skórą pacjenta (pomiar rezystancji),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- gęstość prądu poniżej elektrody neutralnej,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Informacja o jakości przylegania elektrody neutralnej w postaci cyfrowej i graficznej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Możliwość rozbudowy modułu podstawowego o  tryb pracy  koagulacji bliźniaczej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Możliwość rozbudowy systemu o dodatkowe, moduły sterowane z modułu głównego: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- odsysacz dymu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lastRenderedPageBreak/>
              <w:t xml:space="preserve">- pompę </w:t>
            </w:r>
            <w:proofErr w:type="spellStart"/>
            <w:r w:rsidRPr="00941F9E">
              <w:rPr>
                <w:rFonts w:ascii="Times New Roman" w:hAnsi="Times New Roman" w:cs="Times New Roman"/>
              </w:rPr>
              <w:t>irygacyjno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– ssącą,</w:t>
            </w:r>
          </w:p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- nóż wodny do preparowania tkanki miąższowej,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Wyposażenie dodatkowe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8604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Wózek pod aparat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8604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Włącznik nożny, podwójny z przyciskiem do zmiany programu – 1szt. (do dezynfekcji)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8604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Włącznik nożny, </w:t>
            </w:r>
            <w:proofErr w:type="spellStart"/>
            <w:r w:rsidRPr="00941F9E">
              <w:rPr>
                <w:rFonts w:ascii="Times New Roman" w:hAnsi="Times New Roman" w:cs="Times New Roman"/>
              </w:rPr>
              <w:t>pojedyńczy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– 1szt. (do dezynfekcji)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  <w:color w:val="000000"/>
              </w:rPr>
              <w:t>Elektroda neutralna jednorazowa dzielona o powierzchni 85 -90cm2 z pierścieniem izolowanym mechanicznie i elektrycznie o powierzchni min. 23-25 cm2-100szt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Kabel do elektrod neutralnych jednorazowych dł. min 5 m, wielorazowy - 1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Kabel do </w:t>
            </w:r>
            <w:proofErr w:type="spellStart"/>
            <w:r w:rsidRPr="00941F9E">
              <w:rPr>
                <w:rFonts w:ascii="Times New Roman" w:hAnsi="Times New Roman" w:cs="Times New Roman"/>
              </w:rPr>
              <w:t>monopolarnych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instrumentów laparoskopowych dł.min.4m- 1szt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41F9E">
                <w:rPr>
                  <w:rFonts w:ascii="Times New Roman" w:hAnsi="Times New Roman" w:cs="Times New Roman"/>
                </w:rPr>
                <w:t>7 mm</w:t>
              </w:r>
            </w:smartTag>
            <w:r w:rsidRPr="00941F9E">
              <w:rPr>
                <w:rFonts w:ascii="Times New Roman" w:hAnsi="Times New Roman" w:cs="Times New Roman"/>
              </w:rPr>
              <w:t xml:space="preserve">, dł. </w:t>
            </w:r>
            <w:smartTag w:uri="urn:schemas-microsoft-com:office:smarttags" w:element="metricconverter">
              <w:smartTagPr>
                <w:attr w:name="ProductID" w:val="34 cm"/>
              </w:smartTagPr>
              <w:r w:rsidRPr="00941F9E">
                <w:rPr>
                  <w:rFonts w:ascii="Times New Roman" w:hAnsi="Times New Roman" w:cs="Times New Roman"/>
                </w:rPr>
                <w:t>34 cm</w:t>
              </w:r>
            </w:smartTag>
            <w:r w:rsidRPr="00941F9E">
              <w:rPr>
                <w:rFonts w:ascii="Times New Roman" w:hAnsi="Times New Roman" w:cs="Times New Roman"/>
              </w:rPr>
              <w:t xml:space="preserve">, śr.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41F9E">
                <w:rPr>
                  <w:rFonts w:ascii="Times New Roman" w:hAnsi="Times New Roman" w:cs="Times New Roman"/>
                </w:rPr>
                <w:t>5 mm</w:t>
              </w:r>
            </w:smartTag>
            <w:r w:rsidRPr="00941F9E">
              <w:rPr>
                <w:rFonts w:ascii="Times New Roman" w:hAnsi="Times New Roman" w:cs="Times New Roman"/>
              </w:rPr>
              <w:t xml:space="preserve"> końcówka robocza typu Kelly,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41F9E">
                <w:rPr>
                  <w:rFonts w:ascii="Times New Roman" w:hAnsi="Times New Roman" w:cs="Times New Roman"/>
                </w:rPr>
                <w:t>4 m</w:t>
              </w:r>
            </w:smartTag>
            <w:r w:rsidRPr="00941F9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41F9E">
              <w:rPr>
                <w:rFonts w:ascii="Times New Roman" w:hAnsi="Times New Roman" w:cs="Times New Roman"/>
              </w:rPr>
              <w:t>autoklawowalne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- 1 </w:t>
            </w:r>
            <w:proofErr w:type="spellStart"/>
            <w:r w:rsidRPr="00941F9E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Uchwyt argonowy z przyciskami (cięcie, koagulacja), kablem dł. min.3 m – 1 </w:t>
            </w:r>
            <w:proofErr w:type="spellStart"/>
            <w:r w:rsidRPr="00941F9E">
              <w:rPr>
                <w:rFonts w:ascii="Times New Roman" w:hAnsi="Times New Roman" w:cs="Times New Roman"/>
              </w:rPr>
              <w:t>kpl</w:t>
            </w:r>
            <w:proofErr w:type="spellEnd"/>
            <w:r w:rsidRPr="00941F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 xml:space="preserve">Elektroda argonowa </w:t>
            </w:r>
            <w:proofErr w:type="spellStart"/>
            <w:r w:rsidRPr="00941F9E">
              <w:rPr>
                <w:rFonts w:ascii="Times New Roman" w:hAnsi="Times New Roman" w:cs="Times New Roman"/>
              </w:rPr>
              <w:t>szpatułkowa</w:t>
            </w:r>
            <w:proofErr w:type="spellEnd"/>
            <w:r w:rsidRPr="00941F9E">
              <w:rPr>
                <w:rFonts w:ascii="Times New Roman" w:hAnsi="Times New Roman" w:cs="Times New Roman"/>
              </w:rPr>
              <w:t xml:space="preserve"> z przestawną elektrodą (szpatułka wysuwana), tnąco-koagulująca, dł. min. 100 mm –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Butla argonowe 5l z reduktorem  –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941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F9E">
              <w:rPr>
                <w:rFonts w:ascii="Times New Roman" w:hAnsi="Times New Roman" w:cs="Times New Roman"/>
                <w:b/>
                <w:sz w:val="24"/>
                <w:szCs w:val="24"/>
              </w:rPr>
              <w:t>Inne</w:t>
            </w: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Default="00941F9E" w:rsidP="008A0F3E">
            <w:pPr>
              <w:tabs>
                <w:tab w:val="center" w:pos="4536"/>
                <w:tab w:val="right" w:pos="9072"/>
              </w:tabs>
              <w:ind w:right="144"/>
              <w:rPr>
                <w:rFonts w:ascii="Times New Roman" w:hAnsi="Times New Roman" w:cs="Times New Roman"/>
              </w:rPr>
            </w:pPr>
            <w:r w:rsidRPr="00941F9E">
              <w:rPr>
                <w:rFonts w:ascii="Times New Roman" w:hAnsi="Times New Roman" w:cs="Times New Roman"/>
              </w:rPr>
              <w:t>Instrukcja obsługi w języku polskim w wersji papierowej oraz elektronicznej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P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tabs>
                <w:tab w:val="center" w:pos="4536"/>
                <w:tab w:val="right" w:pos="9072"/>
              </w:tabs>
              <w:ind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Dostawa i montaż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  <w:tr w:rsidR="00941F9E" w:rsidRPr="00941F9E" w:rsidTr="005736E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Default="00941F9E" w:rsidP="008A0F3E">
            <w:pPr>
              <w:tabs>
                <w:tab w:val="center" w:pos="4536"/>
                <w:tab w:val="right" w:pos="9072"/>
              </w:tabs>
              <w:ind w:right="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 min. 36 miesięcy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F9E" w:rsidRDefault="00941F9E" w:rsidP="008A0F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9E" w:rsidRPr="00941F9E" w:rsidRDefault="00941F9E" w:rsidP="008A0F3E">
            <w:pPr>
              <w:rPr>
                <w:rFonts w:ascii="Times New Roman" w:hAnsi="Times New Roman" w:cs="Times New Roman"/>
              </w:rPr>
            </w:pPr>
          </w:p>
        </w:tc>
      </w:tr>
    </w:tbl>
    <w:p w:rsid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5736E5" w:rsidRP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................................................</w:t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…………………………………….</w:t>
      </w:r>
    </w:p>
    <w:p w:rsidR="005736E5" w:rsidRPr="005736E5" w:rsidRDefault="005736E5" w:rsidP="005736E5">
      <w:pPr>
        <w:widowControl w:val="0"/>
        <w:spacing w:after="0" w:line="240" w:lineRule="auto"/>
        <w:ind w:right="76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(miejsce i data wystawienia)                     </w:t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(podpis i pieczątka</w:t>
      </w:r>
      <w:r w:rsidRPr="005736E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5736E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941F9E" w:rsidRPr="00941F9E" w:rsidRDefault="00941F9E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41F9E" w:rsidRPr="00941F9E" w:rsidSect="005A4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9E"/>
    <w:rsid w:val="00571FB0"/>
    <w:rsid w:val="005736E5"/>
    <w:rsid w:val="005A4F8D"/>
    <w:rsid w:val="0094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B751CB-1C1F-49AE-8BF5-37621C4A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2016-07-21T09:19:00Z</cp:lastPrinted>
  <dcterms:created xsi:type="dcterms:W3CDTF">2016-07-27T10:30:00Z</dcterms:created>
  <dcterms:modified xsi:type="dcterms:W3CDTF">2016-07-27T11:20:00Z</dcterms:modified>
</cp:coreProperties>
</file>