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4C7" w:rsidRPr="00D2577A" w:rsidRDefault="00DB6562" w:rsidP="00C454C7">
      <w:pPr>
        <w:spacing w:line="276" w:lineRule="auto"/>
        <w:jc w:val="both"/>
      </w:pPr>
      <w:bookmarkStart w:id="0" w:name="_GoBack"/>
      <w:bookmarkEnd w:id="0"/>
      <w:r>
        <w:t>Załącznik nr 1</w:t>
      </w:r>
    </w:p>
    <w:p w:rsidR="00C454C7" w:rsidRPr="00D2577A" w:rsidRDefault="00C454C7" w:rsidP="000E3301">
      <w:pPr>
        <w:spacing w:line="276" w:lineRule="auto"/>
        <w:jc w:val="center"/>
      </w:pPr>
    </w:p>
    <w:p w:rsidR="009F2208" w:rsidRPr="00D2577A" w:rsidRDefault="009F2208" w:rsidP="000E3301">
      <w:pPr>
        <w:spacing w:line="276" w:lineRule="auto"/>
        <w:jc w:val="center"/>
        <w:rPr>
          <w:b/>
        </w:rPr>
      </w:pPr>
      <w:r w:rsidRPr="00D2577A">
        <w:rPr>
          <w:b/>
        </w:rPr>
        <w:t>OPIS PRZEDMIOTU ZAMÓWIENIA</w:t>
      </w:r>
    </w:p>
    <w:p w:rsidR="009C288F" w:rsidRPr="00D2577A" w:rsidRDefault="009C288F" w:rsidP="000E3301">
      <w:pPr>
        <w:spacing w:line="276" w:lineRule="auto"/>
        <w:jc w:val="center"/>
      </w:pPr>
      <w:r w:rsidRPr="00D2577A">
        <w:rPr>
          <w:b/>
        </w:rPr>
        <w:t>WARUNKI MINIMALNE, JAKIE MUSZĄ SPEŁNIAĆ OFERTY</w:t>
      </w:r>
    </w:p>
    <w:p w:rsidR="00BB1856" w:rsidRPr="00D2577A" w:rsidRDefault="00BB1856" w:rsidP="00BB1856">
      <w:pPr>
        <w:spacing w:line="276" w:lineRule="auto"/>
        <w:jc w:val="both"/>
      </w:pPr>
    </w:p>
    <w:p w:rsidR="009F2208" w:rsidRPr="00D2577A" w:rsidRDefault="0024567C" w:rsidP="00BB1856">
      <w:pPr>
        <w:spacing w:line="276" w:lineRule="auto"/>
        <w:jc w:val="both"/>
      </w:pPr>
      <w:r w:rsidRPr="00D2577A">
        <w:t>Na potrzeby</w:t>
      </w:r>
      <w:r w:rsidR="00BB1856" w:rsidRPr="00D2577A">
        <w:t xml:space="preserve"> niniejszego dokumentu przez ubezpieczającego rozumi</w:t>
      </w:r>
      <w:r w:rsidR="00B601B2">
        <w:t>eć się będzie zamawiającego, natomiast</w:t>
      </w:r>
      <w:r w:rsidR="00BB1856" w:rsidRPr="00D2577A">
        <w:t xml:space="preserve"> przez ubezpieczyciela – wykonawcę.</w:t>
      </w:r>
    </w:p>
    <w:p w:rsidR="00BB1856" w:rsidRPr="00D2577A" w:rsidRDefault="00BB1856" w:rsidP="00BB1856">
      <w:pPr>
        <w:spacing w:line="276" w:lineRule="auto"/>
        <w:jc w:val="both"/>
      </w:pPr>
    </w:p>
    <w:p w:rsidR="00CE6DED" w:rsidRDefault="000E157B" w:rsidP="00CE6DED">
      <w:pPr>
        <w:spacing w:line="276" w:lineRule="auto"/>
        <w:jc w:val="both"/>
        <w:rPr>
          <w:b/>
        </w:rPr>
      </w:pPr>
      <w:r>
        <w:rPr>
          <w:b/>
        </w:rPr>
        <w:t>Część</w:t>
      </w:r>
      <w:r w:rsidR="0023519E">
        <w:rPr>
          <w:b/>
        </w:rPr>
        <w:t xml:space="preserve"> I</w:t>
      </w:r>
    </w:p>
    <w:p w:rsidR="004947AF" w:rsidRPr="00CE6DED" w:rsidRDefault="008B5D37" w:rsidP="00AD1EA9">
      <w:pPr>
        <w:pStyle w:val="Akapitzlist"/>
        <w:numPr>
          <w:ilvl w:val="0"/>
          <w:numId w:val="5"/>
        </w:numPr>
        <w:spacing w:line="276" w:lineRule="auto"/>
        <w:jc w:val="both"/>
        <w:rPr>
          <w:b/>
        </w:rPr>
      </w:pPr>
      <w:r w:rsidRPr="00CE6DED">
        <w:rPr>
          <w:b/>
        </w:rPr>
        <w:t>Obowiązkowe</w:t>
      </w:r>
      <w:r w:rsidR="009C288F" w:rsidRPr="00CE6DED">
        <w:rPr>
          <w:b/>
        </w:rPr>
        <w:t xml:space="preserve"> </w:t>
      </w:r>
      <w:r w:rsidRPr="00CE6DED">
        <w:rPr>
          <w:b/>
        </w:rPr>
        <w:t>ubezpieczenie</w:t>
      </w:r>
      <w:r w:rsidR="009C288F" w:rsidRPr="00CE6DED">
        <w:rPr>
          <w:b/>
        </w:rPr>
        <w:t xml:space="preserve"> </w:t>
      </w:r>
      <w:r w:rsidRPr="00CE6DED">
        <w:rPr>
          <w:b/>
        </w:rPr>
        <w:t>odpowiedzialności cywilnej podmiotu wykonującego działalność leczniczą za szkody będące następstwem udzielenia świadczeń zdrowotnych albo niezgodnego z prawem zaniechania udzielenia świadczeń zdrowotnych</w:t>
      </w:r>
    </w:p>
    <w:p w:rsidR="00CE6DED" w:rsidRPr="00CE6DED" w:rsidRDefault="00CE6DED" w:rsidP="00CE6DED">
      <w:pPr>
        <w:pStyle w:val="Akapitzlist"/>
        <w:spacing w:line="276" w:lineRule="auto"/>
        <w:jc w:val="both"/>
        <w:rPr>
          <w:b/>
        </w:rPr>
      </w:pPr>
    </w:p>
    <w:p w:rsidR="009F74FE" w:rsidRPr="00D2577A" w:rsidRDefault="009F74FE" w:rsidP="00AD1EA9">
      <w:pPr>
        <w:pStyle w:val="Akapitzlist"/>
        <w:numPr>
          <w:ilvl w:val="0"/>
          <w:numId w:val="1"/>
        </w:numPr>
        <w:spacing w:line="276" w:lineRule="auto"/>
        <w:jc w:val="both"/>
        <w:rPr>
          <w:b/>
        </w:rPr>
      </w:pPr>
      <w:r w:rsidRPr="00D2577A">
        <w:rPr>
          <w:b/>
        </w:rPr>
        <w:t>Przedmiot i zakres ubezpieczenia</w:t>
      </w:r>
    </w:p>
    <w:p w:rsidR="009F74FE" w:rsidRPr="00D2577A" w:rsidRDefault="009F74FE" w:rsidP="000E3301">
      <w:pPr>
        <w:spacing w:line="276" w:lineRule="auto"/>
        <w:jc w:val="both"/>
        <w:rPr>
          <w:rFonts w:eastAsia="Times New Roman" w:cs="Tahoma"/>
        </w:rPr>
      </w:pPr>
      <w:r w:rsidRPr="00D2577A">
        <w:t xml:space="preserve">Zgodnie z </w:t>
      </w:r>
      <w:r w:rsidR="008B5D37" w:rsidRPr="00D2577A">
        <w:t>rozporządzeniem Ministra</w:t>
      </w:r>
      <w:r w:rsidRPr="00D2577A">
        <w:t xml:space="preserve"> F</w:t>
      </w:r>
      <w:bookmarkStart w:id="1" w:name="PP_2815648_1_1"/>
      <w:bookmarkEnd w:id="1"/>
      <w:r w:rsidR="008B5D37" w:rsidRPr="00D2577A">
        <w:t xml:space="preserve">inansów </w:t>
      </w:r>
      <w:r w:rsidRPr="00D2577A">
        <w:t>z dnia 22 grudnia 2011 r.</w:t>
      </w:r>
      <w:r w:rsidR="008B5D37" w:rsidRPr="00D2577A">
        <w:t xml:space="preserve"> </w:t>
      </w:r>
      <w:r w:rsidRPr="00D2577A">
        <w:t>w sprawie obowiązkowego ubezpieczenia odpowiedzialności cywilnej podmiotu wykonującego działalność leczniczą</w:t>
      </w:r>
      <w:r w:rsidR="008B5D37" w:rsidRPr="00D2577A">
        <w:t xml:space="preserve"> (</w:t>
      </w:r>
      <w:r w:rsidR="008B5D37" w:rsidRPr="00D2577A">
        <w:rPr>
          <w:rFonts w:eastAsia="Times New Roman" w:cs="Tahoma"/>
        </w:rPr>
        <w:t>Dz.U. z 2011 r., Nr 293, poz. 1729).</w:t>
      </w:r>
    </w:p>
    <w:p w:rsidR="00AA7895" w:rsidRPr="00D2577A" w:rsidRDefault="00AA7895" w:rsidP="000E3301">
      <w:pPr>
        <w:spacing w:line="276" w:lineRule="auto"/>
        <w:jc w:val="both"/>
        <w:rPr>
          <w:rFonts w:eastAsia="Times New Roman" w:cs="Tahoma"/>
        </w:rPr>
      </w:pPr>
    </w:p>
    <w:p w:rsidR="008B5D37" w:rsidRPr="00D2577A" w:rsidRDefault="00EB3572" w:rsidP="00AD1EA9">
      <w:pPr>
        <w:pStyle w:val="Akapitzlist"/>
        <w:numPr>
          <w:ilvl w:val="0"/>
          <w:numId w:val="1"/>
        </w:numPr>
        <w:spacing w:line="276" w:lineRule="auto"/>
        <w:jc w:val="both"/>
        <w:rPr>
          <w:b/>
        </w:rPr>
      </w:pPr>
      <w:r w:rsidRPr="00D2577A">
        <w:rPr>
          <w:b/>
        </w:rPr>
        <w:t>Suma gwarancyjna</w:t>
      </w:r>
    </w:p>
    <w:p w:rsidR="00EB3572" w:rsidRPr="00D2577A" w:rsidRDefault="00EB3572" w:rsidP="000E3301">
      <w:pPr>
        <w:spacing w:line="276" w:lineRule="auto"/>
        <w:jc w:val="both"/>
      </w:pPr>
      <w:r w:rsidRPr="00D2577A">
        <w:t xml:space="preserve">Równowartość </w:t>
      </w:r>
      <w:r w:rsidR="001E1AD7" w:rsidRPr="00D2577A">
        <w:t>w</w:t>
      </w:r>
      <w:r w:rsidRPr="00D2577A">
        <w:t xml:space="preserve"> złotych kwoty 100</w:t>
      </w:r>
      <w:r w:rsidR="000A1C03">
        <w:t>.</w:t>
      </w:r>
      <w:r w:rsidRPr="00D2577A">
        <w:t xml:space="preserve">000 </w:t>
      </w:r>
      <w:r w:rsidR="000A1C03">
        <w:t>EURO</w:t>
      </w:r>
      <w:r w:rsidRPr="00D2577A">
        <w:t xml:space="preserve"> na jedno zdarzenie i 500</w:t>
      </w:r>
      <w:r w:rsidR="000A1C03">
        <w:t>.</w:t>
      </w:r>
      <w:r w:rsidRPr="00D2577A">
        <w:t xml:space="preserve">000 </w:t>
      </w:r>
      <w:r w:rsidR="000A1C03">
        <w:t>EURO</w:t>
      </w:r>
      <w:r w:rsidRPr="00D2577A">
        <w:t xml:space="preserve"> na wszystkie zdarzenia objęte zakresem ubezpieczenia.</w:t>
      </w:r>
    </w:p>
    <w:p w:rsidR="00EB3572" w:rsidRPr="00D2577A" w:rsidRDefault="00EB3572" w:rsidP="000E3301">
      <w:pPr>
        <w:spacing w:line="276" w:lineRule="auto"/>
        <w:jc w:val="both"/>
      </w:pPr>
    </w:p>
    <w:p w:rsidR="00EB3572" w:rsidRPr="00D2577A" w:rsidRDefault="00EB3572" w:rsidP="00AD1EA9">
      <w:pPr>
        <w:pStyle w:val="Akapitzlist"/>
        <w:numPr>
          <w:ilvl w:val="0"/>
          <w:numId w:val="1"/>
        </w:numPr>
        <w:spacing w:line="276" w:lineRule="auto"/>
        <w:jc w:val="both"/>
        <w:rPr>
          <w:b/>
        </w:rPr>
      </w:pPr>
      <w:r w:rsidRPr="00D2577A">
        <w:rPr>
          <w:b/>
        </w:rPr>
        <w:t>Obowiązek informacyjny</w:t>
      </w:r>
    </w:p>
    <w:p w:rsidR="0079436B" w:rsidRPr="00D2577A" w:rsidRDefault="000707E3" w:rsidP="000E3301">
      <w:pPr>
        <w:spacing w:line="276" w:lineRule="auto"/>
        <w:jc w:val="both"/>
      </w:pPr>
      <w:r w:rsidRPr="00D2577A">
        <w:t>Wykonawca</w:t>
      </w:r>
      <w:r w:rsidR="002D6DEF" w:rsidRPr="00D2577A">
        <w:t xml:space="preserve"> </w:t>
      </w:r>
      <w:r w:rsidR="00B37FB2" w:rsidRPr="00D2577A">
        <w:t>niezwłocznie powiadomi Zamawi</w:t>
      </w:r>
      <w:r w:rsidR="002D6DEF" w:rsidRPr="00D2577A">
        <w:t>ającego o każdym roszczeniu z tytułu ubezpieczenia odpowiedzialności cywilnej, które w</w:t>
      </w:r>
      <w:r w:rsidR="00B37FB2" w:rsidRPr="00D2577A">
        <w:t xml:space="preserve">płynie bezpośrednio do </w:t>
      </w:r>
      <w:r w:rsidRPr="00D2577A">
        <w:t>Wykonawcy</w:t>
      </w:r>
      <w:r w:rsidR="002D6DEF" w:rsidRPr="00D2577A">
        <w:t xml:space="preserve"> na podstawie art. 822 § 2 k.c. (actio directa) oraz o każdym odszkodowaniu i/lub zadośćuczynieniu wypłaconym w związku </w:t>
      </w:r>
      <w:r w:rsidR="00566F46">
        <w:br/>
      </w:r>
      <w:r w:rsidR="002D6DEF" w:rsidRPr="00D2577A">
        <w:t>z roszczeniem z tytułu ubezpieczenia odpowiedzialności cywilnej.</w:t>
      </w:r>
    </w:p>
    <w:p w:rsidR="00C53BB3" w:rsidRPr="00D2577A" w:rsidRDefault="00C53BB3" w:rsidP="000E3301">
      <w:pPr>
        <w:spacing w:line="276" w:lineRule="auto"/>
        <w:jc w:val="both"/>
      </w:pPr>
    </w:p>
    <w:p w:rsidR="00866F52" w:rsidRPr="00D2577A" w:rsidRDefault="004947AF" w:rsidP="004947AF">
      <w:pPr>
        <w:spacing w:line="276" w:lineRule="auto"/>
        <w:ind w:left="360"/>
        <w:jc w:val="both"/>
        <w:rPr>
          <w:b/>
        </w:rPr>
      </w:pPr>
      <w:r w:rsidRPr="00D2577A">
        <w:rPr>
          <w:b/>
        </w:rPr>
        <w:t xml:space="preserve">B. </w:t>
      </w:r>
      <w:r w:rsidR="00AA7895" w:rsidRPr="00D2577A">
        <w:rPr>
          <w:b/>
        </w:rPr>
        <w:t>Dobrowolne u</w:t>
      </w:r>
      <w:r w:rsidR="00866F52" w:rsidRPr="00D2577A">
        <w:rPr>
          <w:b/>
        </w:rPr>
        <w:t>bezpieczenie odpowiedzialności cywilnej podmiotów leczniczych</w:t>
      </w:r>
    </w:p>
    <w:p w:rsidR="00D76199" w:rsidRPr="00D2577A" w:rsidRDefault="00D76199" w:rsidP="00AD1EA9">
      <w:pPr>
        <w:pStyle w:val="Akapitzlist"/>
        <w:numPr>
          <w:ilvl w:val="0"/>
          <w:numId w:val="4"/>
        </w:numPr>
        <w:spacing w:line="240" w:lineRule="auto"/>
        <w:jc w:val="both"/>
        <w:rPr>
          <w:rFonts w:cs="Arial"/>
          <w:b/>
        </w:rPr>
      </w:pPr>
      <w:r w:rsidRPr="00D2577A">
        <w:rPr>
          <w:rFonts w:cs="Arial"/>
          <w:b/>
        </w:rPr>
        <w:t>Przedmiot ubezpieczenia</w:t>
      </w:r>
    </w:p>
    <w:p w:rsidR="00D76199" w:rsidRPr="00D2577A" w:rsidRDefault="00D76199" w:rsidP="00D76199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D2577A">
        <w:rPr>
          <w:rFonts w:cs="ArialMT"/>
        </w:rPr>
        <w:t xml:space="preserve">Przedmiotem </w:t>
      </w:r>
      <w:r w:rsidR="00AA7895" w:rsidRPr="00D2577A">
        <w:rPr>
          <w:rFonts w:cs="ArialMT"/>
        </w:rPr>
        <w:t xml:space="preserve">dobrowolnego </w:t>
      </w:r>
      <w:r w:rsidRPr="00D2577A">
        <w:rPr>
          <w:rFonts w:cs="ArialMT"/>
        </w:rPr>
        <w:t xml:space="preserve">ubezpieczenia jest odpowiedzialność cywilna ubezpieczonego za szkody wyrządzone osobie trzeciej w następstwie udzielania świadczeń zdrowotnych albo niezgodnego </w:t>
      </w:r>
      <w:r w:rsidR="00233B43">
        <w:rPr>
          <w:rFonts w:cs="ArialMT"/>
        </w:rPr>
        <w:br/>
      </w:r>
      <w:r w:rsidRPr="00D2577A">
        <w:rPr>
          <w:rFonts w:cs="ArialMT"/>
        </w:rPr>
        <w:t>z prawem zaniechania udzielania świadczeń zdrowotnych w związku z wykonywaniem przez ubezpieczonego działalności leczniczej</w:t>
      </w:r>
      <w:r w:rsidR="00255112">
        <w:rPr>
          <w:rFonts w:cs="ArialMT"/>
        </w:rPr>
        <w:t>, w tym podczas praktyk studenckich i staży,</w:t>
      </w:r>
      <w:r w:rsidR="00D4283B">
        <w:rPr>
          <w:rFonts w:cs="ArialMT"/>
        </w:rPr>
        <w:t xml:space="preserve"> a także posiadania</w:t>
      </w:r>
      <w:r w:rsidR="00255112">
        <w:rPr>
          <w:rFonts w:cs="ArialMT"/>
        </w:rPr>
        <w:t xml:space="preserve"> mienia</w:t>
      </w:r>
      <w:r w:rsidR="00D4283B">
        <w:rPr>
          <w:rFonts w:cs="ArialMT"/>
        </w:rPr>
        <w:t xml:space="preserve"> służącego do wykonywania tej działalności</w:t>
      </w:r>
      <w:r w:rsidRPr="00D2577A">
        <w:rPr>
          <w:rFonts w:cs="ArialMT"/>
        </w:rPr>
        <w:t xml:space="preserve">. Ubezpieczyciel udziela ochrony ubezpieczeniowej </w:t>
      </w:r>
      <w:r w:rsidR="00233B43">
        <w:rPr>
          <w:rFonts w:cs="ArialMT"/>
        </w:rPr>
        <w:br/>
      </w:r>
      <w:r w:rsidRPr="00D2577A">
        <w:rPr>
          <w:rFonts w:cs="ArialMT"/>
        </w:rPr>
        <w:t>z tytułu odpowiedzialności cywilnej za szkody wyrządzone przez ubezpieczonego w zakresie:</w:t>
      </w:r>
    </w:p>
    <w:p w:rsidR="00D76199" w:rsidRPr="00D2577A" w:rsidRDefault="00D76199" w:rsidP="00AD1E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D2577A">
        <w:rPr>
          <w:rFonts w:cs="ArialMT"/>
        </w:rPr>
        <w:lastRenderedPageBreak/>
        <w:t>nie objętym obowiązkowym ubezpieczeniem odpowiedzialności cywilnej podmiotu leczniczego</w:t>
      </w:r>
      <w:r w:rsidRPr="00D2577A">
        <w:t xml:space="preserve"> za szkody będące następstwem udzielenia świadczeń zdrowotnych albo niezgodnego z prawem zaniechania udzielenia świadczeń zdrowotnych</w:t>
      </w:r>
      <w:r w:rsidRPr="00D2577A">
        <w:rPr>
          <w:rFonts w:cs="ArialMT"/>
        </w:rPr>
        <w:t>,</w:t>
      </w:r>
    </w:p>
    <w:p w:rsidR="00D76199" w:rsidRPr="00D2577A" w:rsidRDefault="00D76199" w:rsidP="00AD1EA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D2577A">
        <w:rPr>
          <w:rFonts w:cs="ArialMT"/>
        </w:rPr>
        <w:t>objętym obowiązkowym ubezpieczeniem odpowiedzialności cywilnej podmiotu leczniczego</w:t>
      </w:r>
      <w:r w:rsidRPr="00D2577A">
        <w:t xml:space="preserve"> </w:t>
      </w:r>
      <w:r w:rsidR="00233B43">
        <w:br/>
      </w:r>
      <w:r w:rsidRPr="00D2577A">
        <w:t xml:space="preserve">za szkody będące następstwem udzielenia świadczeń zdrowotnych albo niezgodnego </w:t>
      </w:r>
      <w:r w:rsidR="00233B43">
        <w:br/>
      </w:r>
      <w:r w:rsidRPr="00D2577A">
        <w:t>z prawem zaniechania udzielenia świadczeń zdrowotnych</w:t>
      </w:r>
      <w:r w:rsidRPr="00D2577A">
        <w:rPr>
          <w:rFonts w:cs="ArialMT"/>
        </w:rPr>
        <w:t>, jednak wyłącznie w zakresie szkód, które nie mogą być zaspokojone z tytułu tego obowiązkowego ubezpieczenia odpowiedzialności cywilnej z powodu wyczerpania sumy gwarancyjnej (ubezpieczenie nadwyżkowe).</w:t>
      </w:r>
    </w:p>
    <w:p w:rsidR="00D76199" w:rsidRDefault="00D76199" w:rsidP="00236E93">
      <w:pPr>
        <w:spacing w:line="240" w:lineRule="auto"/>
        <w:jc w:val="both"/>
        <w:rPr>
          <w:rFonts w:cs="Arial"/>
          <w:b/>
        </w:rPr>
      </w:pPr>
    </w:p>
    <w:p w:rsidR="00F92E4B" w:rsidRDefault="00F92E4B" w:rsidP="00236E93">
      <w:pPr>
        <w:spacing w:line="240" w:lineRule="auto"/>
        <w:jc w:val="both"/>
        <w:rPr>
          <w:rFonts w:cs="Arial"/>
        </w:rPr>
      </w:pPr>
      <w:r w:rsidRPr="00F92E4B">
        <w:rPr>
          <w:rFonts w:cs="Arial"/>
        </w:rPr>
        <w:t>Ochr</w:t>
      </w:r>
      <w:r>
        <w:rPr>
          <w:rFonts w:cs="Arial"/>
        </w:rPr>
        <w:t>ona ubezpieczeniowa obejmuje ustawową odpowiedzialność z tytułu czynu niedozwolonego (odpowiedzialność</w:t>
      </w:r>
      <w:r w:rsidR="001B4CFB">
        <w:rPr>
          <w:rFonts w:cs="Arial"/>
        </w:rPr>
        <w:t xml:space="preserve"> cywilna</w:t>
      </w:r>
      <w:r>
        <w:rPr>
          <w:rFonts w:cs="Arial"/>
        </w:rPr>
        <w:t xml:space="preserve"> deliktowa), jak również </w:t>
      </w:r>
      <w:r w:rsidRPr="00292B79">
        <w:rPr>
          <w:rFonts w:cs="Arial"/>
        </w:rPr>
        <w:t xml:space="preserve">szkody powstałe w wyniku niewykonania </w:t>
      </w:r>
      <w:r w:rsidR="00233B43">
        <w:rPr>
          <w:rFonts w:cs="Arial"/>
        </w:rPr>
        <w:br/>
      </w:r>
      <w:r w:rsidRPr="00292B79">
        <w:rPr>
          <w:rFonts w:cs="Arial"/>
        </w:rPr>
        <w:t>lub nienależytego wykonania zobowiązania (odpowiedzialność cywilna kontraktowa</w:t>
      </w:r>
      <w:r>
        <w:rPr>
          <w:rFonts w:cs="Arial"/>
        </w:rPr>
        <w:t>).</w:t>
      </w:r>
    </w:p>
    <w:p w:rsidR="00F92E4B" w:rsidRPr="00F92E4B" w:rsidRDefault="00F92E4B" w:rsidP="00236E93">
      <w:pPr>
        <w:spacing w:line="240" w:lineRule="auto"/>
        <w:jc w:val="both"/>
        <w:rPr>
          <w:rFonts w:cs="Arial"/>
        </w:rPr>
      </w:pPr>
    </w:p>
    <w:p w:rsidR="00236E93" w:rsidRPr="00D2577A" w:rsidRDefault="00236E93" w:rsidP="00AD1EA9">
      <w:pPr>
        <w:pStyle w:val="Akapitzlist"/>
        <w:numPr>
          <w:ilvl w:val="0"/>
          <w:numId w:val="4"/>
        </w:numPr>
        <w:spacing w:line="240" w:lineRule="auto"/>
        <w:jc w:val="both"/>
        <w:rPr>
          <w:rFonts w:cs="Arial"/>
          <w:b/>
        </w:rPr>
      </w:pPr>
      <w:r w:rsidRPr="00D2577A">
        <w:rPr>
          <w:rFonts w:cs="Arial"/>
          <w:b/>
        </w:rPr>
        <w:t>Suma gw</w:t>
      </w:r>
      <w:r w:rsidR="00D76199" w:rsidRPr="00D2577A">
        <w:rPr>
          <w:rFonts w:cs="Arial"/>
          <w:b/>
        </w:rPr>
        <w:t>arancyjna</w:t>
      </w:r>
    </w:p>
    <w:p w:rsidR="00236E93" w:rsidRPr="00D2577A" w:rsidRDefault="006A76A4" w:rsidP="00236E93">
      <w:pPr>
        <w:spacing w:line="240" w:lineRule="auto"/>
        <w:jc w:val="both"/>
        <w:rPr>
          <w:rFonts w:cs="Arial"/>
        </w:rPr>
      </w:pPr>
      <w:r>
        <w:rPr>
          <w:rFonts w:cs="Arial"/>
        </w:rPr>
        <w:t>4.</w:t>
      </w:r>
      <w:r w:rsidR="00E72682">
        <w:rPr>
          <w:rFonts w:cs="Arial"/>
        </w:rPr>
        <w:t>500</w:t>
      </w:r>
      <w:r>
        <w:rPr>
          <w:rFonts w:cs="Arial"/>
        </w:rPr>
        <w:t>.</w:t>
      </w:r>
      <w:r w:rsidR="00E72682">
        <w:rPr>
          <w:rFonts w:cs="Arial"/>
        </w:rPr>
        <w:t>000</w:t>
      </w:r>
      <w:r>
        <w:rPr>
          <w:rFonts w:cs="Arial"/>
        </w:rPr>
        <w:t xml:space="preserve"> PLN</w:t>
      </w:r>
      <w:r w:rsidR="00236E93" w:rsidRPr="00D2577A">
        <w:rPr>
          <w:rFonts w:cs="Arial"/>
        </w:rPr>
        <w:t xml:space="preserve"> na jedno i wszystkie zdarzenia w okresie ubezpieczenia.</w:t>
      </w:r>
    </w:p>
    <w:p w:rsidR="00866F52" w:rsidRPr="00D2577A" w:rsidRDefault="00866F52" w:rsidP="00431F5E">
      <w:pPr>
        <w:spacing w:line="276" w:lineRule="auto"/>
        <w:jc w:val="both"/>
      </w:pPr>
    </w:p>
    <w:p w:rsidR="00A409F9" w:rsidRPr="00D2577A" w:rsidRDefault="00A409F9" w:rsidP="00AD1EA9">
      <w:pPr>
        <w:pStyle w:val="Akapitzlist"/>
        <w:numPr>
          <w:ilvl w:val="0"/>
          <w:numId w:val="4"/>
        </w:numPr>
        <w:spacing w:line="240" w:lineRule="auto"/>
        <w:jc w:val="both"/>
        <w:rPr>
          <w:rFonts w:cs="Arial"/>
          <w:b/>
        </w:rPr>
      </w:pPr>
      <w:r w:rsidRPr="00D2577A">
        <w:rPr>
          <w:rFonts w:cs="Arial"/>
          <w:b/>
        </w:rPr>
        <w:t>Franszyza integralna</w:t>
      </w:r>
    </w:p>
    <w:p w:rsidR="00A409F9" w:rsidRPr="00D2577A" w:rsidRDefault="00A409F9" w:rsidP="00A409F9">
      <w:pPr>
        <w:spacing w:line="240" w:lineRule="auto"/>
        <w:jc w:val="both"/>
        <w:rPr>
          <w:rFonts w:cs="Arial"/>
        </w:rPr>
      </w:pPr>
      <w:r w:rsidRPr="00D2577A">
        <w:rPr>
          <w:rFonts w:cs="Arial"/>
        </w:rPr>
        <w:t>Brak.</w:t>
      </w:r>
    </w:p>
    <w:p w:rsidR="00A409F9" w:rsidRPr="00D2577A" w:rsidRDefault="00A409F9" w:rsidP="00A409F9">
      <w:pPr>
        <w:spacing w:line="240" w:lineRule="auto"/>
        <w:jc w:val="both"/>
        <w:rPr>
          <w:rFonts w:cs="Arial"/>
        </w:rPr>
      </w:pPr>
    </w:p>
    <w:p w:rsidR="00A409F9" w:rsidRPr="00D2577A" w:rsidRDefault="00A409F9" w:rsidP="00AD1EA9">
      <w:pPr>
        <w:pStyle w:val="Akapitzlist"/>
        <w:numPr>
          <w:ilvl w:val="0"/>
          <w:numId w:val="4"/>
        </w:numPr>
        <w:spacing w:line="240" w:lineRule="auto"/>
        <w:jc w:val="both"/>
        <w:rPr>
          <w:rFonts w:cs="Arial"/>
          <w:b/>
        </w:rPr>
      </w:pPr>
      <w:r w:rsidRPr="00D2577A">
        <w:rPr>
          <w:rFonts w:cs="Arial"/>
          <w:b/>
        </w:rPr>
        <w:t>Franszyza redukcyjna/udział własny</w:t>
      </w:r>
    </w:p>
    <w:p w:rsidR="00634C03" w:rsidRPr="00292B79" w:rsidRDefault="006A76A4" w:rsidP="006A76A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1.</w:t>
      </w:r>
      <w:r w:rsidR="00634C03" w:rsidRPr="00292B79">
        <w:rPr>
          <w:rFonts w:cs="Arial"/>
        </w:rPr>
        <w:t xml:space="preserve">000 </w:t>
      </w:r>
      <w:r>
        <w:rPr>
          <w:rFonts w:cs="Arial"/>
        </w:rPr>
        <w:t>PLN</w:t>
      </w:r>
      <w:r w:rsidR="00634C03" w:rsidRPr="00292B79">
        <w:rPr>
          <w:rFonts w:cs="Arial"/>
        </w:rPr>
        <w:t xml:space="preserve"> – szkody rzeczowe.</w:t>
      </w:r>
    </w:p>
    <w:p w:rsidR="00634C03" w:rsidRPr="00292B79" w:rsidRDefault="00634C03" w:rsidP="006A76A4">
      <w:pPr>
        <w:spacing w:after="0" w:line="240" w:lineRule="auto"/>
        <w:jc w:val="both"/>
        <w:rPr>
          <w:rFonts w:cs="Arial"/>
        </w:rPr>
      </w:pPr>
      <w:r w:rsidRPr="00292B79">
        <w:rPr>
          <w:rFonts w:cs="Arial"/>
        </w:rPr>
        <w:t>Brak – szkody osobowe</w:t>
      </w:r>
      <w:r>
        <w:rPr>
          <w:rFonts w:cs="Arial"/>
        </w:rPr>
        <w:t>, mienie pracownicze, mienie pacjentów</w:t>
      </w:r>
      <w:r w:rsidRPr="00292B79">
        <w:rPr>
          <w:rFonts w:cs="Arial"/>
        </w:rPr>
        <w:t>.</w:t>
      </w:r>
    </w:p>
    <w:p w:rsidR="00A409F9" w:rsidRPr="00D2577A" w:rsidRDefault="00A409F9" w:rsidP="00431F5E">
      <w:pPr>
        <w:spacing w:line="276" w:lineRule="auto"/>
        <w:jc w:val="both"/>
      </w:pPr>
    </w:p>
    <w:p w:rsidR="00C664CB" w:rsidRPr="00D2577A" w:rsidRDefault="00C664CB" w:rsidP="00AD1EA9">
      <w:pPr>
        <w:pStyle w:val="Akapitzlist"/>
        <w:numPr>
          <w:ilvl w:val="0"/>
          <w:numId w:val="4"/>
        </w:numPr>
        <w:spacing w:line="240" w:lineRule="auto"/>
        <w:jc w:val="both"/>
        <w:rPr>
          <w:rFonts w:cs="Arial"/>
          <w:b/>
        </w:rPr>
      </w:pPr>
      <w:r w:rsidRPr="00D2577A">
        <w:rPr>
          <w:rFonts w:cs="Arial"/>
          <w:b/>
        </w:rPr>
        <w:t>Zakres terytorialny</w:t>
      </w:r>
    </w:p>
    <w:p w:rsidR="00C664CB" w:rsidRPr="00D2577A" w:rsidRDefault="00C664CB" w:rsidP="00C664CB">
      <w:pPr>
        <w:spacing w:line="240" w:lineRule="auto"/>
        <w:jc w:val="both"/>
        <w:rPr>
          <w:rFonts w:cs="Arial"/>
        </w:rPr>
      </w:pPr>
      <w:r w:rsidRPr="00D2577A">
        <w:rPr>
          <w:rFonts w:cs="Arial"/>
        </w:rPr>
        <w:t>Teren RP.</w:t>
      </w:r>
    </w:p>
    <w:p w:rsidR="00AA7895" w:rsidRPr="00D2577A" w:rsidRDefault="00AA7895" w:rsidP="00C664CB">
      <w:pPr>
        <w:spacing w:line="240" w:lineRule="auto"/>
        <w:jc w:val="both"/>
        <w:rPr>
          <w:rFonts w:cs="Arial"/>
        </w:rPr>
      </w:pPr>
    </w:p>
    <w:p w:rsidR="00C664CB" w:rsidRPr="00D2577A" w:rsidRDefault="00C664CB" w:rsidP="00AD1EA9">
      <w:pPr>
        <w:pStyle w:val="Akapitzlist"/>
        <w:numPr>
          <w:ilvl w:val="0"/>
          <w:numId w:val="4"/>
        </w:numPr>
        <w:spacing w:line="240" w:lineRule="auto"/>
        <w:jc w:val="both"/>
        <w:rPr>
          <w:rFonts w:cs="Arial"/>
          <w:b/>
        </w:rPr>
      </w:pPr>
      <w:r w:rsidRPr="00D2577A">
        <w:rPr>
          <w:rFonts w:cs="Arial"/>
          <w:b/>
        </w:rPr>
        <w:t>Trigger</w:t>
      </w:r>
    </w:p>
    <w:p w:rsidR="00C664CB" w:rsidRPr="00D2577A" w:rsidRDefault="00C664CB" w:rsidP="00C664CB">
      <w:pPr>
        <w:spacing w:line="240" w:lineRule="auto"/>
        <w:jc w:val="both"/>
        <w:rPr>
          <w:rFonts w:cs="Arial"/>
        </w:rPr>
      </w:pPr>
      <w:r w:rsidRPr="00D2577A">
        <w:rPr>
          <w:rFonts w:cs="Arial"/>
        </w:rPr>
        <w:t>Act committed</w:t>
      </w:r>
      <w:r w:rsidR="00F2208C" w:rsidRPr="00D2577A">
        <w:rPr>
          <w:rFonts w:cs="Arial"/>
        </w:rPr>
        <w:t>.</w:t>
      </w:r>
    </w:p>
    <w:p w:rsidR="00C664CB" w:rsidRPr="00D2577A" w:rsidRDefault="00C664CB" w:rsidP="00431F5E">
      <w:pPr>
        <w:spacing w:line="276" w:lineRule="auto"/>
        <w:jc w:val="both"/>
      </w:pPr>
    </w:p>
    <w:p w:rsidR="00F20E42" w:rsidRPr="00D2577A" w:rsidRDefault="00F20E42" w:rsidP="00AD1EA9">
      <w:pPr>
        <w:pStyle w:val="Akapitzlist"/>
        <w:numPr>
          <w:ilvl w:val="0"/>
          <w:numId w:val="4"/>
        </w:numPr>
        <w:spacing w:line="240" w:lineRule="auto"/>
        <w:rPr>
          <w:rFonts w:cs="Arial"/>
          <w:b/>
        </w:rPr>
      </w:pPr>
      <w:r w:rsidRPr="00D2577A">
        <w:rPr>
          <w:rFonts w:cs="Arial"/>
          <w:b/>
        </w:rPr>
        <w:t>Dodatkowe rozszerzenia</w:t>
      </w:r>
    </w:p>
    <w:p w:rsidR="00710050" w:rsidRPr="00D2577A" w:rsidRDefault="00710050" w:rsidP="00710050">
      <w:r w:rsidRPr="00D2577A">
        <w:t>Ochronę ubezpieczeniową rozszerza się o:</w:t>
      </w:r>
    </w:p>
    <w:p w:rsidR="00F92E4B" w:rsidRDefault="00F92E4B" w:rsidP="00AD1EA9">
      <w:pPr>
        <w:numPr>
          <w:ilvl w:val="0"/>
          <w:numId w:val="2"/>
        </w:numPr>
        <w:spacing w:after="200" w:line="240" w:lineRule="auto"/>
        <w:jc w:val="both"/>
        <w:rPr>
          <w:rFonts w:cs="Arial"/>
        </w:rPr>
      </w:pPr>
      <w:r w:rsidRPr="00D2577A">
        <w:rPr>
          <w:rFonts w:cs="Arial"/>
        </w:rPr>
        <w:t>szkody wyr</w:t>
      </w:r>
      <w:r>
        <w:rPr>
          <w:rFonts w:cs="Arial"/>
        </w:rPr>
        <w:t>ządzone na skutek nieumyślności i/lub</w:t>
      </w:r>
      <w:r w:rsidRPr="00D2577A">
        <w:rPr>
          <w:rFonts w:cs="Arial"/>
        </w:rPr>
        <w:t xml:space="preserve"> rażącego niedbalstwa</w:t>
      </w:r>
      <w:r>
        <w:rPr>
          <w:rFonts w:cs="Arial"/>
        </w:rPr>
        <w:t>,</w:t>
      </w:r>
    </w:p>
    <w:p w:rsidR="00F20E42" w:rsidRPr="00F10ED5" w:rsidRDefault="00F20E42" w:rsidP="00AD1EA9">
      <w:pPr>
        <w:numPr>
          <w:ilvl w:val="0"/>
          <w:numId w:val="2"/>
        </w:numPr>
        <w:spacing w:after="200" w:line="240" w:lineRule="auto"/>
        <w:jc w:val="both"/>
        <w:rPr>
          <w:rFonts w:cs="Arial"/>
        </w:rPr>
      </w:pPr>
      <w:r w:rsidRPr="00F10ED5">
        <w:rPr>
          <w:rFonts w:cs="Arial"/>
        </w:rPr>
        <w:t xml:space="preserve">szkody wynikłe z przeniesienia </w:t>
      </w:r>
      <w:r w:rsidR="004018C9" w:rsidRPr="00F10ED5">
        <w:rPr>
          <w:rFonts w:cs="Arial"/>
        </w:rPr>
        <w:t>chorób (w tym chorób zakaźnych) i zakażeń (w tym HIV i WZW)</w:t>
      </w:r>
      <w:r w:rsidR="005251BB" w:rsidRPr="00F10ED5">
        <w:rPr>
          <w:rFonts w:cs="Arial"/>
        </w:rPr>
        <w:t xml:space="preserve"> </w:t>
      </w:r>
      <w:r w:rsidR="00F10ED5" w:rsidRPr="00F10ED5">
        <w:rPr>
          <w:rFonts w:cs="Arial"/>
        </w:rPr>
        <w:t xml:space="preserve">oraz zatruć pokarmowych </w:t>
      </w:r>
      <w:r w:rsidR="005251BB" w:rsidRPr="00F10ED5">
        <w:rPr>
          <w:rFonts w:cs="Arial"/>
        </w:rPr>
        <w:t xml:space="preserve">– </w:t>
      </w:r>
      <w:r w:rsidR="00E72682" w:rsidRPr="00F10ED5">
        <w:rPr>
          <w:rFonts w:cs="Arial"/>
        </w:rPr>
        <w:t>limit 2</w:t>
      </w:r>
      <w:r w:rsidR="006A76A4">
        <w:rPr>
          <w:rFonts w:cs="Arial"/>
        </w:rPr>
        <w:t>.500.</w:t>
      </w:r>
      <w:r w:rsidR="00E72682" w:rsidRPr="00F10ED5">
        <w:rPr>
          <w:rFonts w:cs="Arial"/>
        </w:rPr>
        <w:t xml:space="preserve">000 </w:t>
      </w:r>
      <w:r w:rsidR="006A76A4">
        <w:rPr>
          <w:rFonts w:cs="Arial"/>
        </w:rPr>
        <w:t>PLN</w:t>
      </w:r>
      <w:r w:rsidR="00E72682" w:rsidRPr="00F10ED5">
        <w:rPr>
          <w:rFonts w:cs="Arial"/>
        </w:rPr>
        <w:t xml:space="preserve"> na jedno i wszystkie zdarzenia w okresie ubezpieczenia</w:t>
      </w:r>
      <w:r w:rsidR="004018C9" w:rsidRPr="00F10ED5">
        <w:rPr>
          <w:rFonts w:cs="Arial"/>
        </w:rPr>
        <w:t>,</w:t>
      </w:r>
    </w:p>
    <w:p w:rsidR="00672CAD" w:rsidRPr="00D2577A" w:rsidRDefault="007E7AF5" w:rsidP="00AD1EA9">
      <w:pPr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jc w:val="both"/>
        <w:rPr>
          <w:rFonts w:cs="Arial"/>
        </w:rPr>
      </w:pPr>
      <w:r w:rsidRPr="00D2577A">
        <w:rPr>
          <w:rFonts w:cs="ArialMT"/>
        </w:rPr>
        <w:t xml:space="preserve">szkody </w:t>
      </w:r>
      <w:r w:rsidR="00672CAD" w:rsidRPr="00D2577A">
        <w:rPr>
          <w:rFonts w:cs="ArialMT"/>
        </w:rPr>
        <w:t>powstałe wskutek oddziaływania energii jądrowej,</w:t>
      </w:r>
      <w:r w:rsidR="00722E32" w:rsidRPr="00D2577A">
        <w:rPr>
          <w:rFonts w:cs="ArialMT"/>
        </w:rPr>
        <w:t xml:space="preserve"> </w:t>
      </w:r>
      <w:r w:rsidR="00672CAD" w:rsidRPr="00D2577A">
        <w:rPr>
          <w:rFonts w:cs="ArialMT"/>
        </w:rPr>
        <w:t>promieni laserowych, maserowych, promieniowania</w:t>
      </w:r>
      <w:r w:rsidR="00722E32" w:rsidRPr="00D2577A">
        <w:rPr>
          <w:rFonts w:cs="ArialMT"/>
        </w:rPr>
        <w:t xml:space="preserve"> </w:t>
      </w:r>
      <w:r w:rsidR="00672CAD" w:rsidRPr="00D2577A">
        <w:rPr>
          <w:rFonts w:cs="ArialMT"/>
        </w:rPr>
        <w:t>jonizującego, pola magnetycznego lub elektromagnetycznego</w:t>
      </w:r>
      <w:r w:rsidR="00722E32" w:rsidRPr="00D2577A">
        <w:rPr>
          <w:rFonts w:cs="ArialMT"/>
        </w:rPr>
        <w:t xml:space="preserve"> </w:t>
      </w:r>
      <w:r w:rsidR="00672CAD" w:rsidRPr="00D2577A">
        <w:rPr>
          <w:rFonts w:cs="ArialMT"/>
        </w:rPr>
        <w:t>lu</w:t>
      </w:r>
      <w:r w:rsidR="00722E32" w:rsidRPr="00D2577A">
        <w:rPr>
          <w:rFonts w:cs="ArialMT"/>
        </w:rPr>
        <w:t xml:space="preserve">b skażenia </w:t>
      </w:r>
      <w:r w:rsidR="00722E32" w:rsidRPr="00D2577A">
        <w:rPr>
          <w:rFonts w:cs="ArialMT"/>
        </w:rPr>
        <w:lastRenderedPageBreak/>
        <w:t xml:space="preserve">radioaktywnego, jeśli </w:t>
      </w:r>
      <w:r w:rsidR="00672CAD" w:rsidRPr="00D2577A">
        <w:rPr>
          <w:rFonts w:cs="ArialMT"/>
        </w:rPr>
        <w:t>oddziaływanie powstało w następstwie udzielania</w:t>
      </w:r>
      <w:r w:rsidR="00722E32" w:rsidRPr="00D2577A">
        <w:rPr>
          <w:rFonts w:cs="ArialMT"/>
        </w:rPr>
        <w:t xml:space="preserve"> </w:t>
      </w:r>
      <w:r w:rsidR="00672CAD" w:rsidRPr="00D2577A">
        <w:rPr>
          <w:rFonts w:cs="ArialMT"/>
        </w:rPr>
        <w:t>świadczeń zdrowotnych niezgodnie z obowiązującymi</w:t>
      </w:r>
      <w:r w:rsidR="00722E32" w:rsidRPr="00D2577A">
        <w:rPr>
          <w:rFonts w:cs="ArialMT"/>
        </w:rPr>
        <w:t xml:space="preserve"> </w:t>
      </w:r>
      <w:r w:rsidR="00672CAD" w:rsidRPr="00D2577A">
        <w:rPr>
          <w:rFonts w:cs="ArialMT"/>
        </w:rPr>
        <w:t>w tym zakresie normami,</w:t>
      </w:r>
    </w:p>
    <w:p w:rsidR="007D2F75" w:rsidRPr="00D2577A" w:rsidRDefault="00031C37" w:rsidP="00AD1EA9">
      <w:pPr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jc w:val="both"/>
        <w:rPr>
          <w:rFonts w:cs="Arial"/>
        </w:rPr>
      </w:pPr>
      <w:r w:rsidRPr="00D2577A">
        <w:rPr>
          <w:rFonts w:cs="Arial"/>
        </w:rPr>
        <w:t xml:space="preserve">szkody wyrządzone osobom, ze które ubezpieczający ponosi odpowiedzialność i ich bliskim </w:t>
      </w:r>
      <w:r w:rsidR="00233B43">
        <w:rPr>
          <w:rFonts w:cs="Arial"/>
        </w:rPr>
        <w:br/>
      </w:r>
      <w:r w:rsidRPr="00D2577A">
        <w:rPr>
          <w:rFonts w:cs="Arial"/>
        </w:rPr>
        <w:t xml:space="preserve">w sytuacji, gdy staną </w:t>
      </w:r>
      <w:r w:rsidR="00FC49FC" w:rsidRPr="00D2577A">
        <w:rPr>
          <w:rFonts w:cs="Arial"/>
        </w:rPr>
        <w:t>się pacjentami ubezpieczającego,</w:t>
      </w:r>
    </w:p>
    <w:p w:rsidR="00FC49FC" w:rsidRDefault="00FC49FC" w:rsidP="00AD1EA9">
      <w:pPr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jc w:val="both"/>
        <w:rPr>
          <w:rFonts w:cs="Arial"/>
        </w:rPr>
      </w:pPr>
      <w:r w:rsidRPr="00D2577A">
        <w:rPr>
          <w:rFonts w:cs="Arial"/>
        </w:rPr>
        <w:t>szkody wyrządzone osobom trzeci</w:t>
      </w:r>
      <w:r w:rsidR="004E7DD0">
        <w:rPr>
          <w:rFonts w:cs="Arial"/>
        </w:rPr>
        <w:t>m w związku z prowadzoną apteką,</w:t>
      </w:r>
    </w:p>
    <w:p w:rsidR="004E7DD0" w:rsidRDefault="004E7DD0" w:rsidP="00AD1EA9">
      <w:pPr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jc w:val="both"/>
        <w:rPr>
          <w:rFonts w:cs="Arial"/>
        </w:rPr>
      </w:pPr>
      <w:r>
        <w:rPr>
          <w:rFonts w:cs="Arial"/>
        </w:rPr>
        <w:t>szkody wynikające z naruszenia praw pacjenta lub nie</w:t>
      </w:r>
      <w:r w:rsidR="00F4791C">
        <w:rPr>
          <w:rFonts w:cs="Arial"/>
        </w:rPr>
        <w:t>dochowania tajemnicy lekarskiej,</w:t>
      </w:r>
    </w:p>
    <w:p w:rsidR="00D308A8" w:rsidRDefault="00D308A8" w:rsidP="00AD1EA9">
      <w:pPr>
        <w:numPr>
          <w:ilvl w:val="0"/>
          <w:numId w:val="2"/>
        </w:numPr>
        <w:spacing w:after="200" w:line="240" w:lineRule="auto"/>
        <w:jc w:val="both"/>
        <w:rPr>
          <w:rFonts w:cs="Arial"/>
        </w:rPr>
      </w:pPr>
      <w:r w:rsidRPr="00292B79">
        <w:rPr>
          <w:rFonts w:cs="Arial"/>
        </w:rPr>
        <w:t>szkody wyrządzone przez podwykonawców</w:t>
      </w:r>
      <w:r>
        <w:rPr>
          <w:rFonts w:cs="Arial"/>
        </w:rPr>
        <w:t xml:space="preserve"> i dalszych podwykonawców</w:t>
      </w:r>
      <w:r w:rsidRPr="00292B79">
        <w:rPr>
          <w:rFonts w:cs="Arial"/>
        </w:rPr>
        <w:t>,</w:t>
      </w:r>
    </w:p>
    <w:p w:rsidR="00F81EEA" w:rsidRPr="00F81EEA" w:rsidRDefault="00F81EEA" w:rsidP="00AD1EA9">
      <w:pPr>
        <w:numPr>
          <w:ilvl w:val="0"/>
          <w:numId w:val="2"/>
        </w:numPr>
        <w:spacing w:after="200" w:line="240" w:lineRule="auto"/>
        <w:jc w:val="both"/>
        <w:rPr>
          <w:rFonts w:cs="Arial"/>
        </w:rPr>
      </w:pPr>
      <w:r w:rsidRPr="001E0606">
        <w:rPr>
          <w:rFonts w:cs="Arial"/>
        </w:rPr>
        <w:t>szkody wyrządzone w związku z zastosowaniem eksperymentalnych metod leczenia lub rehabilitacji, w tym badań klinicznych.</w:t>
      </w:r>
    </w:p>
    <w:p w:rsidR="00AD1EA9" w:rsidRPr="00AD1EA9" w:rsidRDefault="00AD1EA9" w:rsidP="00AD1EA9">
      <w:pPr>
        <w:spacing w:line="240" w:lineRule="auto"/>
        <w:jc w:val="both"/>
        <w:rPr>
          <w:rFonts w:cs="Arial"/>
        </w:rPr>
      </w:pPr>
      <w:r w:rsidRPr="00AD1EA9">
        <w:rPr>
          <w:rFonts w:cs="Arial"/>
          <w:b/>
        </w:rPr>
        <w:t>Rozszerzenie zakresu odpowiedzialności o szkody powstałe w związku z prowadzoną działalnością apteki szpitalnej lub zakładowej.</w:t>
      </w:r>
      <w:r w:rsidRPr="00AD1EA9">
        <w:rPr>
          <w:rFonts w:cs="Arial"/>
        </w:rPr>
        <w:t xml:space="preserve"> Zakresem ubezpieczenia objęta jest również odpowiedzialność ubezpieczonego za szkody wyrządzone osobom trzecim w związku z prowadzoną przez ubezpieczonego apteką szpitalną lub zakładową.</w:t>
      </w:r>
    </w:p>
    <w:p w:rsidR="00AD1EA9" w:rsidRPr="00AD1EA9" w:rsidRDefault="00AD1EA9" w:rsidP="00AD1EA9">
      <w:pPr>
        <w:spacing w:after="0" w:line="240" w:lineRule="auto"/>
        <w:jc w:val="both"/>
        <w:rPr>
          <w:rFonts w:cs="Arial"/>
        </w:rPr>
      </w:pPr>
      <w:r w:rsidRPr="00AD1EA9">
        <w:rPr>
          <w:rFonts w:cs="Arial"/>
        </w:rPr>
        <w:t>Ubezpieczyciel nie odpowiada za szkody:</w:t>
      </w:r>
    </w:p>
    <w:p w:rsidR="00AD1EA9" w:rsidRPr="00AD1EA9" w:rsidRDefault="00AD1EA9" w:rsidP="00AD1EA9">
      <w:pPr>
        <w:spacing w:after="0" w:line="240" w:lineRule="auto"/>
        <w:jc w:val="both"/>
        <w:rPr>
          <w:rFonts w:cs="Arial"/>
        </w:rPr>
      </w:pPr>
      <w:r w:rsidRPr="00AD1EA9">
        <w:rPr>
          <w:rFonts w:cs="Arial"/>
        </w:rPr>
        <w:t>- powstałe wskutek wprowadzenia do obrotu leków niedopuszczonych do stosowania na terytorium RP,</w:t>
      </w:r>
    </w:p>
    <w:p w:rsidR="00AD1EA9" w:rsidRPr="00AD1EA9" w:rsidRDefault="00AD1EA9" w:rsidP="00AD1EA9">
      <w:pPr>
        <w:spacing w:after="0" w:line="240" w:lineRule="auto"/>
        <w:jc w:val="both"/>
        <w:rPr>
          <w:rFonts w:cs="Arial"/>
        </w:rPr>
      </w:pPr>
      <w:r w:rsidRPr="00AD1EA9">
        <w:rPr>
          <w:rFonts w:cs="Arial"/>
        </w:rPr>
        <w:t>- powstałe w następstwie naruszenia przepisów o zabezpieczeniu leków silnie działających, środków psychotropowych, narkotyków,</w:t>
      </w:r>
    </w:p>
    <w:p w:rsidR="00AD1EA9" w:rsidRPr="00AD1EA9" w:rsidRDefault="00AD1EA9" w:rsidP="00AD1EA9">
      <w:pPr>
        <w:spacing w:after="0" w:line="240" w:lineRule="auto"/>
        <w:jc w:val="both"/>
        <w:rPr>
          <w:rFonts w:cs="Arial"/>
        </w:rPr>
      </w:pPr>
      <w:r w:rsidRPr="00AD1EA9">
        <w:rPr>
          <w:rFonts w:cs="Arial"/>
        </w:rPr>
        <w:t>- powstałe wskutek sprzedaży lub wydania leku, na który wymagana jest recepta oraz bez recepty - wynikłe z przekroczenia umówionego terminu wykonania produktu leczniczego,</w:t>
      </w:r>
    </w:p>
    <w:p w:rsidR="00AD1EA9" w:rsidRPr="00AD1EA9" w:rsidRDefault="00AD1EA9" w:rsidP="00AD1EA9">
      <w:pPr>
        <w:spacing w:after="0" w:line="240" w:lineRule="auto"/>
        <w:jc w:val="both"/>
        <w:rPr>
          <w:rFonts w:cs="Arial"/>
        </w:rPr>
      </w:pPr>
      <w:r w:rsidRPr="00AD1EA9">
        <w:rPr>
          <w:rFonts w:cs="Arial"/>
        </w:rPr>
        <w:t>- spowodowane przez produkty wprowadzone do obrotu przez aptekę przed okresem ubezpieczenia,</w:t>
      </w:r>
    </w:p>
    <w:p w:rsidR="00AD1EA9" w:rsidRPr="00AD1EA9" w:rsidRDefault="00AD1EA9" w:rsidP="00AD1EA9">
      <w:pPr>
        <w:spacing w:after="0" w:line="240" w:lineRule="auto"/>
        <w:jc w:val="both"/>
        <w:rPr>
          <w:rFonts w:cs="Arial"/>
        </w:rPr>
      </w:pPr>
      <w:r w:rsidRPr="00AD1EA9">
        <w:rPr>
          <w:rFonts w:cs="Arial"/>
        </w:rPr>
        <w:t xml:space="preserve">- powstałe w wyniku używania produktu niezgodnie z jego przeznaczeniem lub załączona ulotką </w:t>
      </w:r>
      <w:r>
        <w:rPr>
          <w:rFonts w:cs="Arial"/>
        </w:rPr>
        <w:br/>
      </w:r>
      <w:r w:rsidRPr="00AD1EA9">
        <w:rPr>
          <w:rFonts w:cs="Arial"/>
        </w:rPr>
        <w:t>lub innym dokumentem opisującym właściwości produktu oraz sposób jego wykorzystania,</w:t>
      </w:r>
    </w:p>
    <w:p w:rsidR="00AD1EA9" w:rsidRPr="00AD1EA9" w:rsidRDefault="00AD1EA9" w:rsidP="00AD1EA9">
      <w:pPr>
        <w:spacing w:after="0" w:line="240" w:lineRule="auto"/>
        <w:jc w:val="both"/>
        <w:rPr>
          <w:rFonts w:cs="Arial"/>
        </w:rPr>
      </w:pPr>
      <w:r w:rsidRPr="00AD1EA9">
        <w:rPr>
          <w:rFonts w:cs="Arial"/>
        </w:rPr>
        <w:t xml:space="preserve">- wyrządzone wskutek zastosowania surowców farmaceutycznych niedopuszczonych do wytworzenia leków aptecznych i recepturowych lub przez produkt nie posiadający ważnego atestu (certyfikatu, zezwolenia) dopuszczającego do obrotu, o ile atest (certyfikat, zezwolenie) jest wymagane </w:t>
      </w:r>
      <w:r>
        <w:rPr>
          <w:rFonts w:cs="Arial"/>
        </w:rPr>
        <w:br/>
      </w:r>
      <w:r w:rsidRPr="00AD1EA9">
        <w:rPr>
          <w:rFonts w:cs="Arial"/>
        </w:rPr>
        <w:t>przez obowiązujące przepisy, jeżeli ich stan lub właściwości tych produktów, wyrobów lub aparatury miał wpływ na powstanie szkody,</w:t>
      </w:r>
    </w:p>
    <w:p w:rsidR="00AD1EA9" w:rsidRPr="00AD1EA9" w:rsidRDefault="00AD1EA9" w:rsidP="00AD1EA9">
      <w:pPr>
        <w:spacing w:after="0" w:line="240" w:lineRule="auto"/>
        <w:jc w:val="both"/>
        <w:rPr>
          <w:rFonts w:cs="Arial"/>
        </w:rPr>
      </w:pPr>
      <w:r w:rsidRPr="00AD1EA9">
        <w:rPr>
          <w:rFonts w:cs="Arial"/>
        </w:rPr>
        <w:t xml:space="preserve">- polegające na uszkodzeniu bądź zniszczeniu produktu leczniczego, wyrobu medycznego, wyrobu kosmetycznego i toaletowego oraz z tytułu korzyści jakie poszkodowany mógłby osiągnąć w związku </w:t>
      </w:r>
      <w:r>
        <w:rPr>
          <w:rFonts w:cs="Arial"/>
        </w:rPr>
        <w:br/>
      </w:r>
      <w:r w:rsidRPr="00AD1EA9">
        <w:rPr>
          <w:rFonts w:cs="Arial"/>
        </w:rPr>
        <w:t>z jego używaniem,</w:t>
      </w:r>
    </w:p>
    <w:p w:rsidR="00AD1EA9" w:rsidRPr="00AD1EA9" w:rsidRDefault="00AD1EA9" w:rsidP="00AD1EA9">
      <w:pPr>
        <w:spacing w:after="0" w:line="240" w:lineRule="auto"/>
        <w:jc w:val="both"/>
        <w:rPr>
          <w:rFonts w:cs="Arial"/>
        </w:rPr>
      </w:pPr>
      <w:r w:rsidRPr="00AD1EA9">
        <w:rPr>
          <w:rFonts w:cs="Arial"/>
        </w:rPr>
        <w:t>- wynikłe z wprowadzającej w błąd reklamy lub braku reklamowanych właściwości,</w:t>
      </w:r>
    </w:p>
    <w:p w:rsidR="00AD1EA9" w:rsidRPr="00AD1EA9" w:rsidRDefault="00AD1EA9" w:rsidP="00AD1EA9">
      <w:pPr>
        <w:spacing w:after="0" w:line="240" w:lineRule="auto"/>
        <w:jc w:val="both"/>
        <w:rPr>
          <w:rFonts w:cs="Arial"/>
        </w:rPr>
      </w:pPr>
      <w:r w:rsidRPr="00AD1EA9">
        <w:rPr>
          <w:rFonts w:cs="Arial"/>
        </w:rPr>
        <w:t>- spowodowane wycofaniem z rynku wadliwej partii produktu leczniczego,</w:t>
      </w:r>
    </w:p>
    <w:p w:rsidR="00AD1EA9" w:rsidRPr="00AD1EA9" w:rsidRDefault="00AD1EA9" w:rsidP="00AD1EA9">
      <w:pPr>
        <w:spacing w:after="0" w:line="240" w:lineRule="auto"/>
        <w:jc w:val="both"/>
        <w:rPr>
          <w:rFonts w:cs="Arial"/>
        </w:rPr>
      </w:pPr>
      <w:r w:rsidRPr="00AD1EA9">
        <w:rPr>
          <w:rFonts w:cs="Arial"/>
        </w:rPr>
        <w:t>- powstałe wskutek powolnego działania temperatury, gazów, oparów, wilgoci, dymu, sadzy, ścieków, zagrzybienia, wibracji oraz działania hałasu.</w:t>
      </w:r>
    </w:p>
    <w:p w:rsidR="00722E32" w:rsidRDefault="00722E32" w:rsidP="00722E32">
      <w:pPr>
        <w:spacing w:line="240" w:lineRule="auto"/>
        <w:jc w:val="both"/>
        <w:rPr>
          <w:rFonts w:cs="Arial"/>
        </w:rPr>
      </w:pPr>
    </w:p>
    <w:p w:rsidR="00AD1EA9" w:rsidRPr="00AD1EA9" w:rsidRDefault="00AD1EA9" w:rsidP="00AD1EA9">
      <w:pPr>
        <w:spacing w:line="240" w:lineRule="auto"/>
        <w:jc w:val="both"/>
        <w:rPr>
          <w:rFonts w:cs="Arial"/>
          <w:b/>
        </w:rPr>
      </w:pPr>
      <w:r w:rsidRPr="00AD1EA9">
        <w:rPr>
          <w:rFonts w:cs="Arial"/>
          <w:b/>
        </w:rPr>
        <w:t>Rozszerzenie zakresu odpowiedzialności o szkody powstałe w związku z działalnością podmiotu leczniczego jako ośrodka badawczego w procesie badania klinicznego</w:t>
      </w:r>
    </w:p>
    <w:p w:rsidR="00AD1EA9" w:rsidRPr="00AD1EA9" w:rsidRDefault="00AD1EA9" w:rsidP="00AD1EA9">
      <w:pPr>
        <w:pStyle w:val="Akapitzlist"/>
        <w:numPr>
          <w:ilvl w:val="0"/>
          <w:numId w:val="7"/>
        </w:numPr>
        <w:spacing w:line="240" w:lineRule="auto"/>
        <w:jc w:val="both"/>
        <w:rPr>
          <w:rFonts w:cs="Arial"/>
        </w:rPr>
      </w:pPr>
      <w:r w:rsidRPr="00AD1EA9">
        <w:rPr>
          <w:rFonts w:cs="Arial"/>
        </w:rPr>
        <w:t xml:space="preserve">Z zachowaniem pozostałych nie zmienionych niniejszą klauzulą postanowień OWU, strony postanowiły rozszerzyć zakres ubezpieczenia o odpowiedzialność cywilną ubezpieczonego </w:t>
      </w:r>
      <w:r w:rsidRPr="00AD1EA9">
        <w:rPr>
          <w:rFonts w:cs="Arial"/>
        </w:rPr>
        <w:br/>
        <w:t>za szkody powstałe w związku z działalnością podmiotu leczniczego jako ośrodka badawczego w procesie badania klinicznego.</w:t>
      </w:r>
    </w:p>
    <w:p w:rsidR="00AD1EA9" w:rsidRPr="00AD1EA9" w:rsidRDefault="00AD1EA9" w:rsidP="00AD1EA9">
      <w:pPr>
        <w:pStyle w:val="Akapitzlist"/>
        <w:numPr>
          <w:ilvl w:val="0"/>
          <w:numId w:val="7"/>
        </w:numPr>
        <w:spacing w:line="240" w:lineRule="auto"/>
        <w:jc w:val="both"/>
        <w:rPr>
          <w:rFonts w:cs="Arial"/>
        </w:rPr>
      </w:pPr>
      <w:r w:rsidRPr="00AD1EA9">
        <w:rPr>
          <w:rFonts w:cs="Arial"/>
        </w:rPr>
        <w:t xml:space="preserve">Za uczestnika badania w rozumieniu niniejszej klauzuli uważa się osobę, która bierze udział </w:t>
      </w:r>
      <w:r w:rsidRPr="00AD1EA9">
        <w:rPr>
          <w:rFonts w:cs="Arial"/>
        </w:rPr>
        <w:br/>
        <w:t>w badaniu klinicznym, przyjmując badany produkt leczniczy lub znajdując się w grupie kontrolnej.</w:t>
      </w:r>
    </w:p>
    <w:p w:rsidR="00AD1EA9" w:rsidRDefault="00AD1EA9" w:rsidP="00AD1EA9">
      <w:pPr>
        <w:pStyle w:val="Akapitzlist"/>
        <w:numPr>
          <w:ilvl w:val="0"/>
          <w:numId w:val="7"/>
        </w:numPr>
        <w:spacing w:line="240" w:lineRule="auto"/>
        <w:jc w:val="both"/>
        <w:rPr>
          <w:rFonts w:cs="Arial"/>
        </w:rPr>
      </w:pPr>
      <w:r w:rsidRPr="00AD1EA9">
        <w:rPr>
          <w:rFonts w:cs="Arial"/>
        </w:rPr>
        <w:lastRenderedPageBreak/>
        <w:t xml:space="preserve">Ochrona ubezpieczeniowa istnieje pod warunkiem uzyskania pozytywnej opinii komisji bioetycznej właściwej dla koordynatora badania klinicznego oraz otrzymaniu zgody Ministra Zdrowia jeszcze przed rozpoczęciem badania. Brak któregokolwiek z powyższych dokumentów, a także brak uzyskania wpisu badania przed jego rozpoczęciem do Centralnej Ewidencji Badań Klinicznych (CEBK) skutkuje, jako ważny powód, rozwiązaniem umowy </w:t>
      </w:r>
      <w:r>
        <w:rPr>
          <w:rFonts w:cs="Arial"/>
        </w:rPr>
        <w:br/>
      </w:r>
      <w:r w:rsidRPr="00AD1EA9">
        <w:rPr>
          <w:rFonts w:cs="Arial"/>
        </w:rPr>
        <w:t>ze skutkiem natychmiastowym.</w:t>
      </w:r>
    </w:p>
    <w:p w:rsidR="00AD1EA9" w:rsidRPr="00AD1EA9" w:rsidRDefault="00AD1EA9" w:rsidP="00AD1EA9">
      <w:pPr>
        <w:pStyle w:val="Akapitzlist"/>
        <w:numPr>
          <w:ilvl w:val="0"/>
          <w:numId w:val="7"/>
        </w:numPr>
        <w:spacing w:line="240" w:lineRule="auto"/>
        <w:jc w:val="both"/>
        <w:rPr>
          <w:rFonts w:cs="Arial"/>
        </w:rPr>
      </w:pPr>
      <w:r w:rsidRPr="00AD1EA9">
        <w:rPr>
          <w:rFonts w:cs="Arial"/>
        </w:rPr>
        <w:t xml:space="preserve">Ubezpieczyciel w zakresie wskazanym w niniejszej klauzuli, nie ponosi odpowiedzialności </w:t>
      </w:r>
      <w:r>
        <w:rPr>
          <w:rFonts w:cs="Arial"/>
        </w:rPr>
        <w:br/>
      </w:r>
      <w:r w:rsidRPr="00AD1EA9">
        <w:rPr>
          <w:rFonts w:cs="Arial"/>
        </w:rPr>
        <w:t>za szkody, za które jego odpowiedzialność jest wyłączona na mocy pozostałych postanowień OWU oraz dodatkowo za szkody:</w:t>
      </w:r>
    </w:p>
    <w:p w:rsidR="00AD1EA9" w:rsidRDefault="00AD1EA9" w:rsidP="00AD1EA9">
      <w:pPr>
        <w:pStyle w:val="Akapitzlist"/>
        <w:numPr>
          <w:ilvl w:val="0"/>
          <w:numId w:val="8"/>
        </w:numPr>
        <w:spacing w:line="240" w:lineRule="auto"/>
        <w:jc w:val="both"/>
        <w:rPr>
          <w:rFonts w:cs="Arial"/>
        </w:rPr>
      </w:pPr>
      <w:r w:rsidRPr="00AD1EA9">
        <w:rPr>
          <w:rFonts w:cs="Arial"/>
        </w:rPr>
        <w:t>objęte obowiązkowym ubezpieczeniem odpowiedzialności cywilnej badacza i sponsora; rozszerzenie zakresu ubezpieczenia niniejszą klauzulą nie stanowi również ubezpieczenia nadwyżkowego nad obowiązkowe ubezpieczenie odpowiedzialności cywilnej badacza i sponsora</w:t>
      </w:r>
    </w:p>
    <w:p w:rsidR="00AD1EA9" w:rsidRDefault="00AD1EA9" w:rsidP="00AD1EA9">
      <w:pPr>
        <w:pStyle w:val="Akapitzlist"/>
        <w:numPr>
          <w:ilvl w:val="0"/>
          <w:numId w:val="8"/>
        </w:numPr>
        <w:spacing w:line="240" w:lineRule="auto"/>
        <w:jc w:val="both"/>
        <w:rPr>
          <w:rFonts w:cs="Arial"/>
        </w:rPr>
      </w:pPr>
      <w:r w:rsidRPr="00AD1EA9">
        <w:rPr>
          <w:rFonts w:cs="Arial"/>
        </w:rPr>
        <w:t>podlegające zaspokojeniu z innej, zawartej umowy ubezpieczenia odpowiedzialności cywilnej, także w sytuacji, gdy szkoda objęta jest zakresem ubezpieczenia w innej umowie, jednak nie może być pokryta z uwagi na wyczerpanie sumy gwarancyjnej, lub uprawniony nie zgłosił stosownego roszczenia z takiej umowy ubezpieczenia;</w:t>
      </w:r>
    </w:p>
    <w:p w:rsidR="00AD1EA9" w:rsidRPr="00AD1EA9" w:rsidRDefault="00AD1EA9" w:rsidP="00AD1EA9">
      <w:pPr>
        <w:pStyle w:val="Akapitzlist"/>
        <w:numPr>
          <w:ilvl w:val="0"/>
          <w:numId w:val="8"/>
        </w:numPr>
        <w:spacing w:line="240" w:lineRule="auto"/>
        <w:jc w:val="both"/>
        <w:rPr>
          <w:rFonts w:cs="Arial"/>
        </w:rPr>
      </w:pPr>
      <w:r w:rsidRPr="00AD1EA9">
        <w:rPr>
          <w:rFonts w:cs="Arial"/>
        </w:rPr>
        <w:t>powstałe w wyniku wadliwego uzyskania świadomej zgody uczestnika badania, w tym również uzyskania świadomej zgody niezgodnie z przepisami ustawy</w:t>
      </w:r>
    </w:p>
    <w:p w:rsidR="00AD1EA9" w:rsidRDefault="00AD1EA9" w:rsidP="00722E32">
      <w:pPr>
        <w:spacing w:line="240" w:lineRule="auto"/>
        <w:jc w:val="both"/>
        <w:rPr>
          <w:rFonts w:cs="Arial"/>
        </w:rPr>
      </w:pPr>
    </w:p>
    <w:p w:rsidR="00722E32" w:rsidRPr="00D2577A" w:rsidRDefault="00722E32" w:rsidP="00AD1EA9">
      <w:pPr>
        <w:pStyle w:val="Akapitzlist"/>
        <w:numPr>
          <w:ilvl w:val="0"/>
          <w:numId w:val="6"/>
        </w:numPr>
        <w:spacing w:line="240" w:lineRule="auto"/>
        <w:jc w:val="both"/>
        <w:rPr>
          <w:rFonts w:cs="Arial"/>
        </w:rPr>
      </w:pPr>
      <w:r w:rsidRPr="00D2577A">
        <w:rPr>
          <w:rFonts w:cs="Arial"/>
          <w:b/>
        </w:rPr>
        <w:t>Obowiązek informacyjny</w:t>
      </w:r>
    </w:p>
    <w:p w:rsidR="00722E32" w:rsidRPr="00D2577A" w:rsidRDefault="00722E32" w:rsidP="00722E32">
      <w:pPr>
        <w:spacing w:line="240" w:lineRule="auto"/>
        <w:jc w:val="both"/>
        <w:rPr>
          <w:rFonts w:cs="Arial"/>
        </w:rPr>
      </w:pPr>
      <w:r w:rsidRPr="00D2577A">
        <w:rPr>
          <w:rFonts w:cs="Arial"/>
        </w:rPr>
        <w:t>Ubezpieczyciel niezwłocznie powiadomi ubezpieczającego o każdym roszczeniu z tytułu ubezpieczenia odpowiedzialności cywilnej, które wpłynie bezpośrednio do ubezpieczyciela na podstawie art. 822 § 2 k.c. (actio directa) oraz o każdym odszkodowaniu i/lub zadośćuczynieniu wypłaconym w związku z roszczeniem z tytułu ubezpieczenia odpowiedzialności cywilnej.</w:t>
      </w:r>
    </w:p>
    <w:p w:rsidR="00722E32" w:rsidRPr="00D2577A" w:rsidRDefault="00722E32" w:rsidP="00722E32">
      <w:pPr>
        <w:spacing w:line="240" w:lineRule="auto"/>
        <w:jc w:val="both"/>
        <w:rPr>
          <w:rFonts w:cs="Arial"/>
        </w:rPr>
      </w:pPr>
    </w:p>
    <w:p w:rsidR="00722E32" w:rsidRPr="00D2577A" w:rsidRDefault="00722E32" w:rsidP="00AD1EA9">
      <w:pPr>
        <w:pStyle w:val="Akapitzlist"/>
        <w:numPr>
          <w:ilvl w:val="0"/>
          <w:numId w:val="6"/>
        </w:numPr>
        <w:spacing w:line="240" w:lineRule="auto"/>
        <w:jc w:val="both"/>
        <w:rPr>
          <w:rFonts w:cs="Arial"/>
          <w:b/>
        </w:rPr>
      </w:pPr>
      <w:r w:rsidRPr="00D2577A">
        <w:rPr>
          <w:rFonts w:cs="Arial"/>
          <w:b/>
        </w:rPr>
        <w:t>Definicje</w:t>
      </w:r>
    </w:p>
    <w:p w:rsidR="00722E32" w:rsidRDefault="00722E32" w:rsidP="00722E32">
      <w:pPr>
        <w:spacing w:line="240" w:lineRule="auto"/>
        <w:jc w:val="both"/>
        <w:rPr>
          <w:rFonts w:cs="Arial"/>
        </w:rPr>
      </w:pPr>
      <w:r w:rsidRPr="00D2577A">
        <w:rPr>
          <w:rFonts w:cs="Arial"/>
          <w:b/>
        </w:rPr>
        <w:t>Szkoda osobowa</w:t>
      </w:r>
      <w:r w:rsidRPr="00D2577A">
        <w:rPr>
          <w:rFonts w:cs="Arial"/>
        </w:rPr>
        <w:t xml:space="preserve"> – szkoda powstała na skutek śmierci, uszkodzenia ciała lub rozstroju zdrowia, w tym także utracone korzyści poszkodowanego, które mógłby osiągnąć, gdyby nie doznał uszkodzenia ciała lub rozstroju zdrowia oraz straty będące w normalnym związku przyczynowym z powołanymi zdarzeniami. W razie wątpliwości uważa się, że szkoda osobowa powstała w chwili, gdy poszkodowany po raz pierwszy skontaktował się z lekarzem w związku z objawami, które były przyczyną roszczenia wobec ubezpieczonego, także wtedy, gdy związek przyczynowy został stwierdzony później.</w:t>
      </w:r>
    </w:p>
    <w:p w:rsidR="00C85D3D" w:rsidRPr="00D2577A" w:rsidRDefault="00C85D3D" w:rsidP="00722E32">
      <w:pPr>
        <w:spacing w:line="240" w:lineRule="auto"/>
        <w:jc w:val="both"/>
        <w:rPr>
          <w:rFonts w:cs="Arial"/>
        </w:rPr>
      </w:pPr>
    </w:p>
    <w:p w:rsidR="00722E32" w:rsidRPr="00D2577A" w:rsidRDefault="00722E32" w:rsidP="00722E32">
      <w:pPr>
        <w:spacing w:line="240" w:lineRule="auto"/>
        <w:jc w:val="both"/>
        <w:rPr>
          <w:rFonts w:cs="Arial"/>
        </w:rPr>
      </w:pPr>
      <w:r w:rsidRPr="00D2577A">
        <w:rPr>
          <w:rFonts w:cs="Arial"/>
          <w:b/>
        </w:rPr>
        <w:t>Szkoda rzeczowa</w:t>
      </w:r>
      <w:r w:rsidRPr="00D2577A">
        <w:rPr>
          <w:rFonts w:cs="Arial"/>
        </w:rPr>
        <w:t xml:space="preserve"> – szkoda powstała na skutek utraty, zniszczenia lub uszkodzenia rzeczy ruchomej lub nieruchomości, w tym także utracone korzyści poszkodowanego, które mógłby osiągnąć, gdyby nie nastąpiła utrata, zniszczenie lub uszkodzenie rzeczy oraz straty będące w normalnym związku przyczynowym z powołanymi zdarzeniami.</w:t>
      </w:r>
    </w:p>
    <w:p w:rsidR="00722E32" w:rsidRPr="00D2577A" w:rsidRDefault="00722E32" w:rsidP="00722E32">
      <w:pPr>
        <w:spacing w:line="240" w:lineRule="auto"/>
        <w:jc w:val="both"/>
        <w:rPr>
          <w:rFonts w:cs="Arial"/>
        </w:rPr>
      </w:pPr>
    </w:p>
    <w:p w:rsidR="00722E32" w:rsidRPr="00292B79" w:rsidRDefault="00722E32" w:rsidP="00722E32">
      <w:pPr>
        <w:spacing w:line="240" w:lineRule="auto"/>
        <w:jc w:val="both"/>
        <w:rPr>
          <w:rFonts w:cs="Arial"/>
        </w:rPr>
      </w:pPr>
      <w:r w:rsidRPr="00D2577A">
        <w:rPr>
          <w:rFonts w:cs="Arial"/>
          <w:b/>
        </w:rPr>
        <w:t>Pracownik</w:t>
      </w:r>
      <w:r w:rsidRPr="00D2577A">
        <w:rPr>
          <w:rFonts w:cs="Arial"/>
        </w:rPr>
        <w:t xml:space="preserve"> – osoba wykonująca pracę na rzecz pracodawcy niezależnie od podstawy zatrudnienia, m.in. osoba zatrudniona na podstawie umowy o pracę, powołania, wyboru, mianowania, spółdzielczej umowy o pracę lub umowy cywilnoprawnej (o ile opłacana jest przez ubezpieczającego składka na ubezpieczenia społeczne), osoba zatrudniona na podstawie kontraktu menadżerskiego, uczeń,</w:t>
      </w:r>
      <w:r w:rsidR="009F2C8D">
        <w:rPr>
          <w:rFonts w:cs="Arial"/>
        </w:rPr>
        <w:t xml:space="preserve"> student,</w:t>
      </w:r>
      <w:r w:rsidRPr="00D2577A">
        <w:rPr>
          <w:rFonts w:cs="Arial"/>
        </w:rPr>
        <w:t xml:space="preserve"> </w:t>
      </w:r>
      <w:r w:rsidRPr="00292B79">
        <w:rPr>
          <w:rFonts w:cs="Arial"/>
        </w:rPr>
        <w:t>praktykant, skierowani na praktyki przez szkołę lub uczelnię, stażysta, wolontariusz, członek zarządu (zatrudniony na podstawie innej umowy niż umowa o pracę), pracownik tymczasowy.</w:t>
      </w:r>
    </w:p>
    <w:p w:rsidR="00AA7895" w:rsidRPr="00292B79" w:rsidRDefault="00AA7895" w:rsidP="00722E32">
      <w:pPr>
        <w:spacing w:line="240" w:lineRule="auto"/>
        <w:jc w:val="both"/>
        <w:rPr>
          <w:rFonts w:cs="Arial"/>
        </w:rPr>
      </w:pPr>
    </w:p>
    <w:p w:rsidR="00722E32" w:rsidRPr="00292B79" w:rsidRDefault="00722E32" w:rsidP="00AD1EA9">
      <w:pPr>
        <w:pStyle w:val="Akapitzlist"/>
        <w:numPr>
          <w:ilvl w:val="0"/>
          <w:numId w:val="6"/>
        </w:numPr>
        <w:spacing w:line="276" w:lineRule="auto"/>
        <w:jc w:val="both"/>
        <w:rPr>
          <w:b/>
        </w:rPr>
      </w:pPr>
      <w:r w:rsidRPr="00292B79">
        <w:rPr>
          <w:b/>
        </w:rPr>
        <w:lastRenderedPageBreak/>
        <w:t>Klauzule dodatkowe</w:t>
      </w:r>
    </w:p>
    <w:p w:rsidR="007A2B9A" w:rsidRDefault="00AA7895" w:rsidP="007A2B9A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(7) </w:t>
      </w:r>
      <w:r w:rsidR="007A2B9A" w:rsidRPr="00292B79">
        <w:rPr>
          <w:rFonts w:cs="Arial"/>
          <w:b/>
        </w:rPr>
        <w:t>Klauzula korespondencji elektronicznej</w:t>
      </w:r>
      <w:r w:rsidR="007A2B9A" w:rsidRPr="00292B79">
        <w:rPr>
          <w:rFonts w:cs="Arial"/>
        </w:rPr>
        <w:t xml:space="preserve"> – zawiadomienia i oświadczenia składane przez strony umowy ubezpieczenia mogą być dostarczane drugiej stronie drogą elektroniczną (certyfikowany podpis elektroniczny nie jest wymagany), faksu lub telefonu.</w:t>
      </w:r>
    </w:p>
    <w:p w:rsidR="00C225CD" w:rsidRPr="00292B79" w:rsidRDefault="00C225CD" w:rsidP="007A2B9A">
      <w:pPr>
        <w:spacing w:line="240" w:lineRule="auto"/>
        <w:jc w:val="both"/>
        <w:rPr>
          <w:rFonts w:cs="Arial"/>
        </w:rPr>
      </w:pPr>
    </w:p>
    <w:p w:rsidR="007A2B9A" w:rsidRPr="00292B79" w:rsidRDefault="00AA7895" w:rsidP="007A2B9A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(11) </w:t>
      </w:r>
      <w:r w:rsidR="007A2B9A" w:rsidRPr="00292B79">
        <w:rPr>
          <w:rFonts w:cs="Arial"/>
          <w:b/>
        </w:rPr>
        <w:t>Klauzula stempla bankowego</w:t>
      </w:r>
      <w:r w:rsidR="007A2B9A" w:rsidRPr="00292B79">
        <w:rPr>
          <w:rFonts w:cs="Arial"/>
        </w:rPr>
        <w:t xml:space="preserve"> – jeżeli zapłata raty składki lub składki dokonywana jest w formie przelewu bankowego lub przekazu pocztowego, za dzień zapłaty uważa się dzień zlecenia zapłaty</w:t>
      </w:r>
      <w:r w:rsidR="00C21708">
        <w:rPr>
          <w:rFonts w:cs="Arial"/>
        </w:rPr>
        <w:t xml:space="preserve"> </w:t>
      </w:r>
      <w:r w:rsidR="00C21708">
        <w:rPr>
          <w:rFonts w:cs="Arial"/>
        </w:rPr>
        <w:br/>
        <w:t xml:space="preserve">w banku, urzędzie pocztowym lub </w:t>
      </w:r>
      <w:r w:rsidR="00C21708" w:rsidRPr="00C21708">
        <w:rPr>
          <w:rFonts w:cs="Arial"/>
        </w:rPr>
        <w:t>systemie elektronicznym</w:t>
      </w:r>
      <w:r w:rsidR="00C21708">
        <w:rPr>
          <w:rFonts w:cs="Arial"/>
        </w:rPr>
        <w:t>.</w:t>
      </w:r>
    </w:p>
    <w:p w:rsidR="007A2B9A" w:rsidRPr="00292B79" w:rsidRDefault="007A2B9A" w:rsidP="007A2B9A">
      <w:pPr>
        <w:spacing w:line="240" w:lineRule="auto"/>
        <w:jc w:val="both"/>
        <w:rPr>
          <w:rFonts w:cs="Arial"/>
          <w:b/>
        </w:rPr>
      </w:pPr>
    </w:p>
    <w:p w:rsidR="005F4219" w:rsidRDefault="005F4219" w:rsidP="005F4219">
      <w:pPr>
        <w:spacing w:line="240" w:lineRule="auto"/>
        <w:jc w:val="both"/>
        <w:rPr>
          <w:rFonts w:cs="Arial"/>
        </w:rPr>
      </w:pPr>
      <w:r>
        <w:rPr>
          <w:rFonts w:cs="Arial"/>
          <w:b/>
        </w:rPr>
        <w:t>(12) Klauzula zgłaszania wypadku ubezpieczeniowego</w:t>
      </w:r>
      <w:r>
        <w:rPr>
          <w:rFonts w:cs="Arial"/>
        </w:rPr>
        <w:t xml:space="preserve"> – zawiadomienie ubezpieczyciela o wypadku ubezpieczeniowym winno nastąpić niezwłocznie, nie później jednak niż w ciągu 14 dni od daty jego zajścia lub uzyskania o nim wiadomości, chyba że ogólne warunki ubezpieczenia przewidują dłuższy termin. Zapisane w ogólnych warunkach skutki niezawiadomienia ubezpieczyciela o wypadku ubezpieczeniowym w odpowiednim terminie mają zastosowanie tylko i wyłącznie w sytuacji, kiedy niezawiadomienie w terminie miało wpływ na ustalenie odpowiedzialności ubezpieczyciela i rozmiar szkody. W przypadku, gdy koniec terminu przypada w sobotę lub dzień ustawowo wolny od pracy, termin przedłuża się do pierwszego dnia roboczego po tym dniu. Przy obliczaniu terminu </w:t>
      </w:r>
      <w:r w:rsidR="00233B43">
        <w:rPr>
          <w:rFonts w:cs="Arial"/>
        </w:rPr>
        <w:br/>
      </w:r>
      <w:r>
        <w:rPr>
          <w:rFonts w:cs="Arial"/>
        </w:rPr>
        <w:t>do zawiadomienia nie uwzględnia się dnia zajścia wypadku ubezpieczeniowego lub uzyskania o nim wiadomości.</w:t>
      </w:r>
    </w:p>
    <w:p w:rsidR="00C85D3D" w:rsidRPr="00292B79" w:rsidRDefault="00C85D3D" w:rsidP="007A2B9A">
      <w:pPr>
        <w:spacing w:line="240" w:lineRule="auto"/>
        <w:jc w:val="both"/>
        <w:rPr>
          <w:rFonts w:cs="Arial"/>
        </w:rPr>
      </w:pPr>
    </w:p>
    <w:p w:rsidR="00F12892" w:rsidRPr="00292B79" w:rsidRDefault="00AA7895" w:rsidP="00F12892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(14) </w:t>
      </w:r>
      <w:r w:rsidR="00F12892" w:rsidRPr="00292B79">
        <w:rPr>
          <w:rFonts w:cs="Arial"/>
          <w:b/>
        </w:rPr>
        <w:t>Klauzula reprezentantów</w:t>
      </w:r>
      <w:r w:rsidR="00F12892" w:rsidRPr="00292B79">
        <w:rPr>
          <w:rFonts w:cs="Arial"/>
        </w:rPr>
        <w:t xml:space="preserve"> – ubezpieczyciel jest wolny od odpowiedzialności za szkody powstałe na skutek winy umyślnej reprezentantów ubezpieczającego, jeżeli szkoda została wyrządzona </w:t>
      </w:r>
      <w:r w:rsidR="00233B43">
        <w:rPr>
          <w:rFonts w:cs="Arial"/>
        </w:rPr>
        <w:br/>
      </w:r>
      <w:r w:rsidR="00F12892" w:rsidRPr="00292B79">
        <w:rPr>
          <w:rFonts w:cs="Arial"/>
        </w:rPr>
        <w:t>w związku z pełnieniem funkcji reprezentanta. Za reprezentantów uznaje się osoby lub organ wieloosobowy (zarząd), który uprawniony jest zgodnie z obowiązującymi przepisami lub statutem do zarządzania ubezpieczonym podmiotem, z wyłączeniem prokurentów ustanowionych przez ten podmiot. Niezależnie od powyższych zapisów ochrona obejmuje szkody spowodowane przez wszelkich przedstawicieli ubezpieczającego na skutek rażącego niedbalstwa (dotyczy również reprezentantów).</w:t>
      </w:r>
    </w:p>
    <w:p w:rsidR="00707892" w:rsidRPr="00292B79" w:rsidRDefault="00707892" w:rsidP="00F12892">
      <w:pPr>
        <w:spacing w:line="240" w:lineRule="auto"/>
        <w:jc w:val="both"/>
        <w:rPr>
          <w:rFonts w:cs="Arial"/>
        </w:rPr>
      </w:pPr>
    </w:p>
    <w:p w:rsidR="00F12892" w:rsidRDefault="00FF4D33" w:rsidP="00F12892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(18) </w:t>
      </w:r>
      <w:r w:rsidR="00F12892" w:rsidRPr="00292B79">
        <w:rPr>
          <w:rFonts w:cs="Arial"/>
          <w:b/>
        </w:rPr>
        <w:t>Klauzula płatności rat</w:t>
      </w:r>
      <w:r w:rsidR="00F12892" w:rsidRPr="00292B79">
        <w:rPr>
          <w:rFonts w:cs="Arial"/>
        </w:rPr>
        <w:t xml:space="preserve"> – w przypadku wypłaty odszkodowania ubezpieczyciel nie jest uprawniony do potrącenia z kwoty odszkodowania rat jeszcze nie wymagalnych lub też żądania zapłaty pozostałych do końca trwania okresu ubezpieczenia składek. Klauzula nie ma zastosowania w przypadku szkód całkowitych, wyczerpujących sumę ubezpieczenia.</w:t>
      </w:r>
    </w:p>
    <w:p w:rsidR="00102EDB" w:rsidRDefault="00102EDB" w:rsidP="00F12892">
      <w:pPr>
        <w:spacing w:line="240" w:lineRule="auto"/>
        <w:jc w:val="both"/>
        <w:rPr>
          <w:rFonts w:cs="Arial"/>
          <w:b/>
        </w:rPr>
      </w:pPr>
    </w:p>
    <w:p w:rsidR="00F12892" w:rsidRPr="00292B79" w:rsidRDefault="00102EDB" w:rsidP="00F12892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 </w:t>
      </w:r>
      <w:r w:rsidR="00FF4D33" w:rsidRPr="00292B79">
        <w:rPr>
          <w:rFonts w:cs="Arial"/>
          <w:b/>
        </w:rPr>
        <w:t xml:space="preserve">(30) </w:t>
      </w:r>
      <w:r w:rsidR="00F12892" w:rsidRPr="00292B79">
        <w:rPr>
          <w:rFonts w:cs="Arial"/>
          <w:b/>
        </w:rPr>
        <w:t>Klauzula prawa do regresu</w:t>
      </w:r>
      <w:r w:rsidR="00F12892" w:rsidRPr="00292B79">
        <w:rPr>
          <w:rFonts w:cs="Arial"/>
        </w:rPr>
        <w:t xml:space="preserve"> – na ubezpieczyciela przechodzi prawo regresu w stosunku do osoby trzeciej lub osoby, za którą odpowiedzialność ponosi ubezpieczający tylko za zgodą ubezpieczającego. Ubezpieczający udzieli takiej zgody zawsze, gdy szkoda była spowodowana umyślnie. Dotyczy także szkód spowodowanych w trakcie wykonywania obowiązków służbowych przez pracowników ubezpieczającego. Jeżeli ubezpieczający zrzekł się roszczenia przeciwko sprawcy szkody, którym jest ubezpieczony, ubezpieczyciel uzna ten fakt i nie będzie dochodził od niego regresu. Zrzeczenie to nie wpłynie również na zakres i wysokość odszkodowania przysługującego ubezpieczającemu.</w:t>
      </w:r>
    </w:p>
    <w:p w:rsidR="00FF4D33" w:rsidRPr="00292B79" w:rsidRDefault="00FF4D33" w:rsidP="00F12892">
      <w:pPr>
        <w:spacing w:line="240" w:lineRule="auto"/>
        <w:jc w:val="both"/>
        <w:rPr>
          <w:rFonts w:cs="Arial"/>
          <w:b/>
        </w:rPr>
      </w:pPr>
    </w:p>
    <w:p w:rsidR="00F12892" w:rsidRPr="00292B79" w:rsidRDefault="00FF4D33" w:rsidP="00F12892">
      <w:pPr>
        <w:spacing w:line="240" w:lineRule="auto"/>
        <w:jc w:val="both"/>
        <w:rPr>
          <w:rFonts w:cs="Arial"/>
          <w:b/>
        </w:rPr>
      </w:pPr>
      <w:r w:rsidRPr="00292B79">
        <w:rPr>
          <w:rFonts w:cs="Arial"/>
          <w:b/>
        </w:rPr>
        <w:t xml:space="preserve">(37) </w:t>
      </w:r>
      <w:r w:rsidR="00F12892" w:rsidRPr="00292B79">
        <w:rPr>
          <w:rFonts w:cs="Arial"/>
          <w:b/>
        </w:rPr>
        <w:t>Klauzula pierwszeństwa warunków ubezpieczenia w stosunku do klauzul</w:t>
      </w:r>
      <w:r w:rsidR="0037552A">
        <w:rPr>
          <w:rFonts w:cs="Arial"/>
          <w:b/>
        </w:rPr>
        <w:t xml:space="preserve"> dodatkowych</w:t>
      </w:r>
      <w:r w:rsidR="00F12892" w:rsidRPr="00292B79">
        <w:rPr>
          <w:rFonts w:cs="Arial"/>
        </w:rPr>
        <w:t xml:space="preserve"> – jeżeli warunki ubezpieczenia przewidują zapisy korzystniejsze dla ubezpieczającego niż klauzule </w:t>
      </w:r>
      <w:r w:rsidR="0037552A">
        <w:rPr>
          <w:rFonts w:cs="Arial"/>
        </w:rPr>
        <w:t>dodatkowe</w:t>
      </w:r>
      <w:r w:rsidR="00F12892" w:rsidRPr="00292B79">
        <w:rPr>
          <w:rFonts w:cs="Arial"/>
        </w:rPr>
        <w:t>, pierwszeństwo mają warunki ubezpieczenia.</w:t>
      </w:r>
    </w:p>
    <w:p w:rsidR="00FF4D33" w:rsidRPr="00292B79" w:rsidRDefault="00FF4D33" w:rsidP="00F12892">
      <w:pPr>
        <w:spacing w:line="240" w:lineRule="auto"/>
        <w:jc w:val="both"/>
        <w:rPr>
          <w:rFonts w:cs="Arial"/>
          <w:b/>
        </w:rPr>
      </w:pPr>
    </w:p>
    <w:p w:rsidR="00F12892" w:rsidRPr="00292B79" w:rsidRDefault="00FF4D33" w:rsidP="00F12892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(40) </w:t>
      </w:r>
      <w:r w:rsidR="00F12892" w:rsidRPr="00292B79">
        <w:rPr>
          <w:rFonts w:cs="Arial"/>
          <w:b/>
        </w:rPr>
        <w:t>Klauzula warunków i stawek</w:t>
      </w:r>
      <w:r w:rsidR="00F12892" w:rsidRPr="00292B79">
        <w:rPr>
          <w:rFonts w:cs="Arial"/>
        </w:rPr>
        <w:t xml:space="preserve"> – w przypadku doubezpieczenia, uzupełnienia lub podwyższenia sumy ubezpieczenia/gwarancyjnej lub limitu w okresie ubezpieczenia zastosowanie mieć będą warunki umowy ubezpieczenia oraz stawki obowiązujące w umowie ubezpieczenia w dniu dokonywania zmiany, chyba że zastosowane pierwotnie warunki lub stawki są korzystniejsze dla ubezpieczającego.</w:t>
      </w:r>
    </w:p>
    <w:p w:rsidR="00707892" w:rsidRPr="00292B79" w:rsidRDefault="00707892" w:rsidP="00F12892">
      <w:pPr>
        <w:spacing w:line="240" w:lineRule="auto"/>
        <w:jc w:val="both"/>
        <w:rPr>
          <w:rFonts w:cs="Arial"/>
        </w:rPr>
      </w:pPr>
    </w:p>
    <w:p w:rsidR="00F12892" w:rsidRDefault="00FF4D33" w:rsidP="00F12892">
      <w:pPr>
        <w:spacing w:line="276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(50) </w:t>
      </w:r>
      <w:r w:rsidR="00F12892" w:rsidRPr="00292B79">
        <w:rPr>
          <w:rFonts w:cs="Arial"/>
          <w:b/>
        </w:rPr>
        <w:t>Klauzula uznania</w:t>
      </w:r>
      <w:r w:rsidR="00F12892" w:rsidRPr="00292B79">
        <w:rPr>
          <w:rFonts w:cs="Arial"/>
        </w:rPr>
        <w:t xml:space="preserve"> – ubezpieczyciel uznaje, że przy zawarciu umowy ubezpieczenia znane mu były wszystkie okoliczności, które są znaczące dla oceny ryzyka.</w:t>
      </w:r>
    </w:p>
    <w:p w:rsidR="000A1C03" w:rsidRPr="00292B79" w:rsidRDefault="000A1C03" w:rsidP="00F12892">
      <w:pPr>
        <w:spacing w:line="276" w:lineRule="auto"/>
        <w:jc w:val="both"/>
        <w:rPr>
          <w:rFonts w:cs="Arial"/>
        </w:rPr>
      </w:pPr>
    </w:p>
    <w:p w:rsidR="00FF4D33" w:rsidRPr="00D54A31" w:rsidRDefault="00D54A31" w:rsidP="00F12892">
      <w:pPr>
        <w:spacing w:line="276" w:lineRule="auto"/>
        <w:jc w:val="both"/>
        <w:rPr>
          <w:rFonts w:cs="Arial"/>
        </w:rPr>
      </w:pPr>
      <w:r w:rsidRPr="00D54A31">
        <w:rPr>
          <w:rFonts w:cs="Arial"/>
          <w:b/>
        </w:rPr>
        <w:t xml:space="preserve">(103) Klauzula funduszu prewencyjnego – </w:t>
      </w:r>
      <w:r w:rsidR="00107C9D">
        <w:rPr>
          <w:rFonts w:cs="Tahoma"/>
          <w:snapToGrid w:val="0"/>
          <w:szCs w:val="18"/>
        </w:rPr>
        <w:t>Ubezpieczyciel przyznaje dofinansowanie</w:t>
      </w:r>
      <w:r w:rsidR="00107C9D" w:rsidRPr="00286D9D">
        <w:rPr>
          <w:rFonts w:cs="Tahoma"/>
          <w:snapToGrid w:val="0"/>
          <w:szCs w:val="18"/>
        </w:rPr>
        <w:t xml:space="preserve"> ze środków funduszu prewencyjnego w okresie od 1 lipca 2016 r. do 30 czerwca 2018 r., w kwocie </w:t>
      </w:r>
      <w:r w:rsidR="00107C9D">
        <w:rPr>
          <w:rFonts w:cs="Tahoma"/>
          <w:snapToGrid w:val="0"/>
          <w:szCs w:val="18"/>
        </w:rPr>
        <w:t>5</w:t>
      </w:r>
      <w:r w:rsidR="00107C9D" w:rsidRPr="00286D9D">
        <w:rPr>
          <w:rFonts w:cs="Tahoma"/>
          <w:snapToGrid w:val="0"/>
          <w:szCs w:val="18"/>
        </w:rPr>
        <w:t>0</w:t>
      </w:r>
      <w:r w:rsidR="00107C9D">
        <w:rPr>
          <w:rFonts w:cs="Tahoma"/>
          <w:snapToGrid w:val="0"/>
          <w:szCs w:val="18"/>
        </w:rPr>
        <w:t>.</w:t>
      </w:r>
      <w:r w:rsidR="00107C9D" w:rsidRPr="00286D9D">
        <w:rPr>
          <w:rFonts w:cs="Tahoma"/>
          <w:snapToGrid w:val="0"/>
          <w:szCs w:val="18"/>
        </w:rPr>
        <w:t xml:space="preserve">000,00 PLN /słownie PLN: </w:t>
      </w:r>
      <w:r w:rsidR="00107C9D">
        <w:rPr>
          <w:rFonts w:cs="Tahoma"/>
          <w:snapToGrid w:val="0"/>
          <w:szCs w:val="18"/>
        </w:rPr>
        <w:t>pięćdziesiąt</w:t>
      </w:r>
      <w:r w:rsidR="00107C9D" w:rsidRPr="00286D9D">
        <w:rPr>
          <w:rFonts w:cs="Tahoma"/>
          <w:snapToGrid w:val="0"/>
          <w:szCs w:val="18"/>
        </w:rPr>
        <w:t xml:space="preserve"> tysięcy/ dla SP ZOZ MSW  w Łodzi wypłacanego </w:t>
      </w:r>
      <w:r w:rsidR="00107C9D">
        <w:rPr>
          <w:rFonts w:cs="Tahoma"/>
          <w:snapToGrid w:val="0"/>
          <w:szCs w:val="18"/>
        </w:rPr>
        <w:t xml:space="preserve">w dwóch częściach </w:t>
      </w:r>
      <w:r w:rsidR="00107C9D">
        <w:rPr>
          <w:rFonts w:cs="Tahoma"/>
          <w:snapToGrid w:val="0"/>
          <w:szCs w:val="18"/>
        </w:rPr>
        <w:br/>
        <w:t>po 25.000 PLN</w:t>
      </w:r>
      <w:r w:rsidR="00107C9D" w:rsidRPr="00286D9D">
        <w:rPr>
          <w:rFonts w:cs="Tahoma"/>
          <w:snapToGrid w:val="0"/>
          <w:szCs w:val="18"/>
        </w:rPr>
        <w:t xml:space="preserve"> </w:t>
      </w:r>
      <w:r w:rsidR="00107C9D">
        <w:rPr>
          <w:rFonts w:cs="Tahoma"/>
          <w:snapToGrid w:val="0"/>
          <w:szCs w:val="18"/>
        </w:rPr>
        <w:t xml:space="preserve">w każdym 12 miesięcznym okresie ubezpieczenia </w:t>
      </w:r>
      <w:r w:rsidR="00107C9D" w:rsidRPr="00286D9D">
        <w:rPr>
          <w:rFonts w:cs="Tahoma"/>
          <w:snapToGrid w:val="0"/>
          <w:szCs w:val="18"/>
        </w:rPr>
        <w:t>i do wykorzystania w okresie obowiązywania</w:t>
      </w:r>
      <w:r w:rsidR="00107C9D">
        <w:rPr>
          <w:rFonts w:cs="Tahoma"/>
          <w:snapToGrid w:val="0"/>
          <w:szCs w:val="18"/>
        </w:rPr>
        <w:t xml:space="preserve"> umowy</w:t>
      </w:r>
      <w:r w:rsidR="00107C9D" w:rsidRPr="00286D9D">
        <w:rPr>
          <w:rFonts w:cs="Tahoma"/>
          <w:snapToGrid w:val="0"/>
          <w:szCs w:val="18"/>
        </w:rPr>
        <w:t xml:space="preserve"> ubezpieczenia. Środki zostaną wypłacone </w:t>
      </w:r>
      <w:r w:rsidR="00107C9D">
        <w:rPr>
          <w:rFonts w:cs="Tahoma"/>
          <w:snapToGrid w:val="0"/>
          <w:szCs w:val="18"/>
        </w:rPr>
        <w:t xml:space="preserve">na </w:t>
      </w:r>
      <w:r w:rsidR="00107C9D" w:rsidRPr="00286D9D">
        <w:rPr>
          <w:rFonts w:cs="Tahoma"/>
          <w:snapToGrid w:val="0"/>
          <w:szCs w:val="18"/>
        </w:rPr>
        <w:t>cel prewencyjny</w:t>
      </w:r>
      <w:r w:rsidR="00107C9D">
        <w:rPr>
          <w:rFonts w:cs="Tahoma"/>
          <w:snapToGrid w:val="0"/>
          <w:szCs w:val="18"/>
        </w:rPr>
        <w:t xml:space="preserve"> uzgodniony </w:t>
      </w:r>
      <w:r w:rsidR="00107C9D">
        <w:rPr>
          <w:rFonts w:cs="Tahoma"/>
          <w:snapToGrid w:val="0"/>
          <w:szCs w:val="18"/>
        </w:rPr>
        <w:br/>
        <w:t>z Ubezpieczycielem</w:t>
      </w:r>
      <w:r w:rsidR="00107C9D" w:rsidRPr="00286D9D">
        <w:rPr>
          <w:rFonts w:cs="Tahoma"/>
          <w:snapToGrid w:val="0"/>
          <w:szCs w:val="18"/>
        </w:rPr>
        <w:t>. Rozliczenie funduszu nastąpi na podstawie kopii faktur.</w:t>
      </w:r>
    </w:p>
    <w:sectPr w:rsidR="00FF4D33" w:rsidRPr="00D54A31" w:rsidSect="005F4775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ED8" w:rsidRDefault="00D46ED8" w:rsidP="0097193D">
      <w:pPr>
        <w:spacing w:after="0" w:line="240" w:lineRule="auto"/>
      </w:pPr>
      <w:r>
        <w:separator/>
      </w:r>
    </w:p>
  </w:endnote>
  <w:endnote w:type="continuationSeparator" w:id="0">
    <w:p w:rsidR="00D46ED8" w:rsidRDefault="00D46ED8" w:rsidP="00971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69964225"/>
      <w:docPartObj>
        <w:docPartGallery w:val="Page Numbers (Bottom of Page)"/>
        <w:docPartUnique/>
      </w:docPartObj>
    </w:sdtPr>
    <w:sdtEndPr/>
    <w:sdtContent>
      <w:p w:rsidR="006C27F5" w:rsidRPr="0097193D" w:rsidRDefault="007C218E" w:rsidP="0097193D">
        <w:pPr>
          <w:pStyle w:val="Stopka"/>
          <w:jc w:val="right"/>
          <w:rPr>
            <w:sz w:val="16"/>
            <w:szCs w:val="16"/>
          </w:rPr>
        </w:pPr>
        <w:r w:rsidRPr="0097193D">
          <w:rPr>
            <w:sz w:val="16"/>
            <w:szCs w:val="16"/>
          </w:rPr>
          <w:fldChar w:fldCharType="begin"/>
        </w:r>
        <w:r w:rsidR="006C27F5" w:rsidRPr="0097193D">
          <w:rPr>
            <w:sz w:val="16"/>
            <w:szCs w:val="16"/>
          </w:rPr>
          <w:instrText>PAGE   \* MERGEFORMAT</w:instrText>
        </w:r>
        <w:r w:rsidRPr="0097193D">
          <w:rPr>
            <w:sz w:val="16"/>
            <w:szCs w:val="16"/>
          </w:rPr>
          <w:fldChar w:fldCharType="separate"/>
        </w:r>
        <w:r w:rsidR="006353CB">
          <w:rPr>
            <w:noProof/>
            <w:sz w:val="16"/>
            <w:szCs w:val="16"/>
          </w:rPr>
          <w:t>2</w:t>
        </w:r>
        <w:r w:rsidRPr="0097193D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ED8" w:rsidRDefault="00D46ED8" w:rsidP="0097193D">
      <w:pPr>
        <w:spacing w:after="0" w:line="240" w:lineRule="auto"/>
      </w:pPr>
      <w:r>
        <w:separator/>
      </w:r>
    </w:p>
  </w:footnote>
  <w:footnote w:type="continuationSeparator" w:id="0">
    <w:p w:rsidR="00D46ED8" w:rsidRDefault="00D46ED8" w:rsidP="00971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C4DEC"/>
    <w:multiLevelType w:val="hybridMultilevel"/>
    <w:tmpl w:val="3FE46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C0673"/>
    <w:multiLevelType w:val="hybridMultilevel"/>
    <w:tmpl w:val="C220D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A23E1"/>
    <w:multiLevelType w:val="hybridMultilevel"/>
    <w:tmpl w:val="78FCC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13FBE"/>
    <w:multiLevelType w:val="hybridMultilevel"/>
    <w:tmpl w:val="E3A614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B285D"/>
    <w:multiLevelType w:val="hybridMultilevel"/>
    <w:tmpl w:val="F920F8EC"/>
    <w:lvl w:ilvl="0" w:tplc="254298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F66AF"/>
    <w:multiLevelType w:val="hybridMultilevel"/>
    <w:tmpl w:val="1F182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A16A4"/>
    <w:multiLevelType w:val="hybridMultilevel"/>
    <w:tmpl w:val="BC08EF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F4E92"/>
    <w:multiLevelType w:val="hybridMultilevel"/>
    <w:tmpl w:val="91B67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08"/>
    <w:rsid w:val="00002F42"/>
    <w:rsid w:val="00004EAF"/>
    <w:rsid w:val="0002423D"/>
    <w:rsid w:val="0002626F"/>
    <w:rsid w:val="00027509"/>
    <w:rsid w:val="00031078"/>
    <w:rsid w:val="00031C37"/>
    <w:rsid w:val="000468C7"/>
    <w:rsid w:val="00051710"/>
    <w:rsid w:val="00056A0F"/>
    <w:rsid w:val="00062C42"/>
    <w:rsid w:val="00063416"/>
    <w:rsid w:val="00065AFF"/>
    <w:rsid w:val="000707E3"/>
    <w:rsid w:val="00076CD4"/>
    <w:rsid w:val="0008008A"/>
    <w:rsid w:val="00081B29"/>
    <w:rsid w:val="0008399E"/>
    <w:rsid w:val="00083D4D"/>
    <w:rsid w:val="00084119"/>
    <w:rsid w:val="0008688E"/>
    <w:rsid w:val="0009451F"/>
    <w:rsid w:val="00094B71"/>
    <w:rsid w:val="00095798"/>
    <w:rsid w:val="00095BE8"/>
    <w:rsid w:val="000A1C03"/>
    <w:rsid w:val="000A28AD"/>
    <w:rsid w:val="000A4FD2"/>
    <w:rsid w:val="000B12B4"/>
    <w:rsid w:val="000B5DD5"/>
    <w:rsid w:val="000C2C58"/>
    <w:rsid w:val="000D0668"/>
    <w:rsid w:val="000D1A25"/>
    <w:rsid w:val="000D600C"/>
    <w:rsid w:val="000E157B"/>
    <w:rsid w:val="000E1A58"/>
    <w:rsid w:val="000E3301"/>
    <w:rsid w:val="000E3CFA"/>
    <w:rsid w:val="000E5A17"/>
    <w:rsid w:val="000E77B9"/>
    <w:rsid w:val="000F5808"/>
    <w:rsid w:val="00102EDB"/>
    <w:rsid w:val="00107C9D"/>
    <w:rsid w:val="00114A23"/>
    <w:rsid w:val="001166EB"/>
    <w:rsid w:val="001173BB"/>
    <w:rsid w:val="00124787"/>
    <w:rsid w:val="00132D21"/>
    <w:rsid w:val="00134895"/>
    <w:rsid w:val="00153DA9"/>
    <w:rsid w:val="00155AE4"/>
    <w:rsid w:val="0017089D"/>
    <w:rsid w:val="0017508E"/>
    <w:rsid w:val="00190AB1"/>
    <w:rsid w:val="0019446E"/>
    <w:rsid w:val="00194FA7"/>
    <w:rsid w:val="001A2AC0"/>
    <w:rsid w:val="001B0D3F"/>
    <w:rsid w:val="001B13CB"/>
    <w:rsid w:val="001B346A"/>
    <w:rsid w:val="001B4101"/>
    <w:rsid w:val="001B4CFB"/>
    <w:rsid w:val="001B5842"/>
    <w:rsid w:val="001C6EDA"/>
    <w:rsid w:val="001C7E52"/>
    <w:rsid w:val="001D1FDB"/>
    <w:rsid w:val="001E1AD7"/>
    <w:rsid w:val="001E221E"/>
    <w:rsid w:val="001F252C"/>
    <w:rsid w:val="001F4CFB"/>
    <w:rsid w:val="001F4EAA"/>
    <w:rsid w:val="00204515"/>
    <w:rsid w:val="00206EDC"/>
    <w:rsid w:val="00222332"/>
    <w:rsid w:val="0023039C"/>
    <w:rsid w:val="002309B0"/>
    <w:rsid w:val="002312B8"/>
    <w:rsid w:val="00233B43"/>
    <w:rsid w:val="0023519E"/>
    <w:rsid w:val="00236E93"/>
    <w:rsid w:val="00244443"/>
    <w:rsid w:val="0024567C"/>
    <w:rsid w:val="002502E1"/>
    <w:rsid w:val="002502F4"/>
    <w:rsid w:val="0025177C"/>
    <w:rsid w:val="00255112"/>
    <w:rsid w:val="00260035"/>
    <w:rsid w:val="00287C87"/>
    <w:rsid w:val="00292B79"/>
    <w:rsid w:val="002A337C"/>
    <w:rsid w:val="002A7051"/>
    <w:rsid w:val="002B07E9"/>
    <w:rsid w:val="002B3718"/>
    <w:rsid w:val="002B450A"/>
    <w:rsid w:val="002B6897"/>
    <w:rsid w:val="002C0576"/>
    <w:rsid w:val="002C1C09"/>
    <w:rsid w:val="002C5081"/>
    <w:rsid w:val="002D6DEF"/>
    <w:rsid w:val="002E7FCF"/>
    <w:rsid w:val="002F32FE"/>
    <w:rsid w:val="0032083A"/>
    <w:rsid w:val="00320E7F"/>
    <w:rsid w:val="0032356C"/>
    <w:rsid w:val="00323F6B"/>
    <w:rsid w:val="003240BD"/>
    <w:rsid w:val="0032561F"/>
    <w:rsid w:val="00326D13"/>
    <w:rsid w:val="00331172"/>
    <w:rsid w:val="003335CE"/>
    <w:rsid w:val="00335F33"/>
    <w:rsid w:val="003366BB"/>
    <w:rsid w:val="00342F02"/>
    <w:rsid w:val="00345B7B"/>
    <w:rsid w:val="00351FE9"/>
    <w:rsid w:val="00356D79"/>
    <w:rsid w:val="003625D8"/>
    <w:rsid w:val="00362DA7"/>
    <w:rsid w:val="0037552A"/>
    <w:rsid w:val="003A5789"/>
    <w:rsid w:val="003B0937"/>
    <w:rsid w:val="003B7C05"/>
    <w:rsid w:val="003C2ACB"/>
    <w:rsid w:val="003D52F5"/>
    <w:rsid w:val="003E6E17"/>
    <w:rsid w:val="003F6F03"/>
    <w:rsid w:val="00400543"/>
    <w:rsid w:val="004018C9"/>
    <w:rsid w:val="004063B6"/>
    <w:rsid w:val="00422DB8"/>
    <w:rsid w:val="004245B8"/>
    <w:rsid w:val="00431F5E"/>
    <w:rsid w:val="004322E3"/>
    <w:rsid w:val="00433185"/>
    <w:rsid w:val="00435C5C"/>
    <w:rsid w:val="00435F30"/>
    <w:rsid w:val="0044504B"/>
    <w:rsid w:val="0045340A"/>
    <w:rsid w:val="00456BFB"/>
    <w:rsid w:val="00460954"/>
    <w:rsid w:val="00461372"/>
    <w:rsid w:val="004619E3"/>
    <w:rsid w:val="0047009C"/>
    <w:rsid w:val="00485E08"/>
    <w:rsid w:val="004872F5"/>
    <w:rsid w:val="004874BA"/>
    <w:rsid w:val="00494501"/>
    <w:rsid w:val="004947AF"/>
    <w:rsid w:val="004A04D9"/>
    <w:rsid w:val="004A0DDE"/>
    <w:rsid w:val="004B3D0D"/>
    <w:rsid w:val="004B5934"/>
    <w:rsid w:val="004C2B5B"/>
    <w:rsid w:val="004C6C0E"/>
    <w:rsid w:val="004C6E3C"/>
    <w:rsid w:val="004D136E"/>
    <w:rsid w:val="004D68C0"/>
    <w:rsid w:val="004E4513"/>
    <w:rsid w:val="004E67A4"/>
    <w:rsid w:val="004E76C1"/>
    <w:rsid w:val="004E7DD0"/>
    <w:rsid w:val="004F1D68"/>
    <w:rsid w:val="004F3DFE"/>
    <w:rsid w:val="004F438B"/>
    <w:rsid w:val="004F7B70"/>
    <w:rsid w:val="004F7C35"/>
    <w:rsid w:val="00501171"/>
    <w:rsid w:val="0051085B"/>
    <w:rsid w:val="00511B94"/>
    <w:rsid w:val="00512C6C"/>
    <w:rsid w:val="00512DD1"/>
    <w:rsid w:val="00524A84"/>
    <w:rsid w:val="005251BB"/>
    <w:rsid w:val="00525B4E"/>
    <w:rsid w:val="00530CFE"/>
    <w:rsid w:val="005507F0"/>
    <w:rsid w:val="005545D3"/>
    <w:rsid w:val="00555531"/>
    <w:rsid w:val="005566D0"/>
    <w:rsid w:val="00560DB8"/>
    <w:rsid w:val="00566F46"/>
    <w:rsid w:val="005722B9"/>
    <w:rsid w:val="00575045"/>
    <w:rsid w:val="00575BF0"/>
    <w:rsid w:val="00577A11"/>
    <w:rsid w:val="005811FF"/>
    <w:rsid w:val="00583EAD"/>
    <w:rsid w:val="00585335"/>
    <w:rsid w:val="00591BCF"/>
    <w:rsid w:val="00597140"/>
    <w:rsid w:val="005A0F63"/>
    <w:rsid w:val="005A1554"/>
    <w:rsid w:val="005A5012"/>
    <w:rsid w:val="005B26EA"/>
    <w:rsid w:val="005B3700"/>
    <w:rsid w:val="005B3BB6"/>
    <w:rsid w:val="005C39E9"/>
    <w:rsid w:val="005C7911"/>
    <w:rsid w:val="005D41F7"/>
    <w:rsid w:val="005E4831"/>
    <w:rsid w:val="005E55B9"/>
    <w:rsid w:val="005F4219"/>
    <w:rsid w:val="005F4775"/>
    <w:rsid w:val="006037B4"/>
    <w:rsid w:val="0060612F"/>
    <w:rsid w:val="00615161"/>
    <w:rsid w:val="006216E5"/>
    <w:rsid w:val="00622BC4"/>
    <w:rsid w:val="00626AB3"/>
    <w:rsid w:val="00634C03"/>
    <w:rsid w:val="006353CB"/>
    <w:rsid w:val="006551FC"/>
    <w:rsid w:val="006558CC"/>
    <w:rsid w:val="00660060"/>
    <w:rsid w:val="00665071"/>
    <w:rsid w:val="006712D4"/>
    <w:rsid w:val="00671EE4"/>
    <w:rsid w:val="00672CAD"/>
    <w:rsid w:val="00680EC7"/>
    <w:rsid w:val="00687BFF"/>
    <w:rsid w:val="00692D05"/>
    <w:rsid w:val="006A17AF"/>
    <w:rsid w:val="006A6C1B"/>
    <w:rsid w:val="006A76A4"/>
    <w:rsid w:val="006A7A99"/>
    <w:rsid w:val="006B74D1"/>
    <w:rsid w:val="006C27F5"/>
    <w:rsid w:val="006C69DA"/>
    <w:rsid w:val="006D387B"/>
    <w:rsid w:val="006D79F5"/>
    <w:rsid w:val="006F3DBF"/>
    <w:rsid w:val="006F5E75"/>
    <w:rsid w:val="00707247"/>
    <w:rsid w:val="00707892"/>
    <w:rsid w:val="0070789C"/>
    <w:rsid w:val="00710050"/>
    <w:rsid w:val="00722E32"/>
    <w:rsid w:val="007263D2"/>
    <w:rsid w:val="00731336"/>
    <w:rsid w:val="007323C5"/>
    <w:rsid w:val="0073783C"/>
    <w:rsid w:val="0074735A"/>
    <w:rsid w:val="007474D5"/>
    <w:rsid w:val="00747837"/>
    <w:rsid w:val="007478A2"/>
    <w:rsid w:val="00752320"/>
    <w:rsid w:val="007529B5"/>
    <w:rsid w:val="00760EF5"/>
    <w:rsid w:val="00762C4F"/>
    <w:rsid w:val="00775CE7"/>
    <w:rsid w:val="00790F33"/>
    <w:rsid w:val="00791AFA"/>
    <w:rsid w:val="007920D0"/>
    <w:rsid w:val="00792BCE"/>
    <w:rsid w:val="0079436B"/>
    <w:rsid w:val="007A2B9A"/>
    <w:rsid w:val="007A3152"/>
    <w:rsid w:val="007A358A"/>
    <w:rsid w:val="007A4427"/>
    <w:rsid w:val="007B4E8B"/>
    <w:rsid w:val="007C218E"/>
    <w:rsid w:val="007C6783"/>
    <w:rsid w:val="007D267C"/>
    <w:rsid w:val="007D2F75"/>
    <w:rsid w:val="007E7AF5"/>
    <w:rsid w:val="007F2300"/>
    <w:rsid w:val="007F44E3"/>
    <w:rsid w:val="008007CE"/>
    <w:rsid w:val="00822A7A"/>
    <w:rsid w:val="00823234"/>
    <w:rsid w:val="0082606E"/>
    <w:rsid w:val="00827A12"/>
    <w:rsid w:val="0083068A"/>
    <w:rsid w:val="00830BBC"/>
    <w:rsid w:val="0083215B"/>
    <w:rsid w:val="00834893"/>
    <w:rsid w:val="00845AFF"/>
    <w:rsid w:val="00846891"/>
    <w:rsid w:val="00847B7D"/>
    <w:rsid w:val="00851EF4"/>
    <w:rsid w:val="00866DC9"/>
    <w:rsid w:val="00866F52"/>
    <w:rsid w:val="008706F5"/>
    <w:rsid w:val="00870ABB"/>
    <w:rsid w:val="00877DF3"/>
    <w:rsid w:val="00877E05"/>
    <w:rsid w:val="0088059D"/>
    <w:rsid w:val="00884229"/>
    <w:rsid w:val="00886AE5"/>
    <w:rsid w:val="0089195B"/>
    <w:rsid w:val="00893314"/>
    <w:rsid w:val="008A2C92"/>
    <w:rsid w:val="008A4A25"/>
    <w:rsid w:val="008A7CE9"/>
    <w:rsid w:val="008B0B71"/>
    <w:rsid w:val="008B5157"/>
    <w:rsid w:val="008B5D37"/>
    <w:rsid w:val="008C5A75"/>
    <w:rsid w:val="008D2471"/>
    <w:rsid w:val="008D3E85"/>
    <w:rsid w:val="008D6595"/>
    <w:rsid w:val="008D6F29"/>
    <w:rsid w:val="008E258A"/>
    <w:rsid w:val="008E331A"/>
    <w:rsid w:val="008E43FB"/>
    <w:rsid w:val="008E5822"/>
    <w:rsid w:val="008F0738"/>
    <w:rsid w:val="008F7A58"/>
    <w:rsid w:val="00903A1B"/>
    <w:rsid w:val="0090460D"/>
    <w:rsid w:val="00906D84"/>
    <w:rsid w:val="00916027"/>
    <w:rsid w:val="009163F5"/>
    <w:rsid w:val="00920EB1"/>
    <w:rsid w:val="0094075D"/>
    <w:rsid w:val="009418D0"/>
    <w:rsid w:val="00941D50"/>
    <w:rsid w:val="0094658E"/>
    <w:rsid w:val="00952131"/>
    <w:rsid w:val="00954F1D"/>
    <w:rsid w:val="009579F9"/>
    <w:rsid w:val="00960CA7"/>
    <w:rsid w:val="009616E2"/>
    <w:rsid w:val="0097193D"/>
    <w:rsid w:val="0097227B"/>
    <w:rsid w:val="00975A6D"/>
    <w:rsid w:val="009806B2"/>
    <w:rsid w:val="00981D4B"/>
    <w:rsid w:val="00984306"/>
    <w:rsid w:val="009921C8"/>
    <w:rsid w:val="00992BA8"/>
    <w:rsid w:val="009978A9"/>
    <w:rsid w:val="009A6DA9"/>
    <w:rsid w:val="009B11E6"/>
    <w:rsid w:val="009B2710"/>
    <w:rsid w:val="009B77DF"/>
    <w:rsid w:val="009C2227"/>
    <w:rsid w:val="009C2750"/>
    <w:rsid w:val="009C288F"/>
    <w:rsid w:val="009C2F7A"/>
    <w:rsid w:val="009C6160"/>
    <w:rsid w:val="009D32EB"/>
    <w:rsid w:val="009D4025"/>
    <w:rsid w:val="009D6A9B"/>
    <w:rsid w:val="009E3945"/>
    <w:rsid w:val="009E6F3D"/>
    <w:rsid w:val="009E7529"/>
    <w:rsid w:val="009F2208"/>
    <w:rsid w:val="009F2C8D"/>
    <w:rsid w:val="009F3B73"/>
    <w:rsid w:val="009F4C9F"/>
    <w:rsid w:val="009F74FE"/>
    <w:rsid w:val="00A012D7"/>
    <w:rsid w:val="00A06A31"/>
    <w:rsid w:val="00A10854"/>
    <w:rsid w:val="00A20FB6"/>
    <w:rsid w:val="00A2696C"/>
    <w:rsid w:val="00A30CB5"/>
    <w:rsid w:val="00A322DE"/>
    <w:rsid w:val="00A34F78"/>
    <w:rsid w:val="00A409F9"/>
    <w:rsid w:val="00A607DC"/>
    <w:rsid w:val="00A8382D"/>
    <w:rsid w:val="00A83F0A"/>
    <w:rsid w:val="00A905E6"/>
    <w:rsid w:val="00AA1D5D"/>
    <w:rsid w:val="00AA1FCA"/>
    <w:rsid w:val="00AA28E4"/>
    <w:rsid w:val="00AA72B5"/>
    <w:rsid w:val="00AA7895"/>
    <w:rsid w:val="00AB0238"/>
    <w:rsid w:val="00AB0281"/>
    <w:rsid w:val="00AC3C20"/>
    <w:rsid w:val="00AD0865"/>
    <w:rsid w:val="00AD1684"/>
    <w:rsid w:val="00AD1EA9"/>
    <w:rsid w:val="00AD23BB"/>
    <w:rsid w:val="00AE1599"/>
    <w:rsid w:val="00AE1E41"/>
    <w:rsid w:val="00AE1E71"/>
    <w:rsid w:val="00AE6A92"/>
    <w:rsid w:val="00AF41BF"/>
    <w:rsid w:val="00B03D9D"/>
    <w:rsid w:val="00B04CC4"/>
    <w:rsid w:val="00B1262A"/>
    <w:rsid w:val="00B21BB1"/>
    <w:rsid w:val="00B23DDB"/>
    <w:rsid w:val="00B26A12"/>
    <w:rsid w:val="00B33174"/>
    <w:rsid w:val="00B344FD"/>
    <w:rsid w:val="00B36AC2"/>
    <w:rsid w:val="00B37735"/>
    <w:rsid w:val="00B37FB2"/>
    <w:rsid w:val="00B46DC0"/>
    <w:rsid w:val="00B51797"/>
    <w:rsid w:val="00B53932"/>
    <w:rsid w:val="00B601B2"/>
    <w:rsid w:val="00B7691A"/>
    <w:rsid w:val="00B81EF1"/>
    <w:rsid w:val="00B86489"/>
    <w:rsid w:val="00BB0FA7"/>
    <w:rsid w:val="00BB1734"/>
    <w:rsid w:val="00BB1856"/>
    <w:rsid w:val="00BB271E"/>
    <w:rsid w:val="00BC03A7"/>
    <w:rsid w:val="00BC06BB"/>
    <w:rsid w:val="00BC0B00"/>
    <w:rsid w:val="00BC43C5"/>
    <w:rsid w:val="00BC6DA0"/>
    <w:rsid w:val="00BD45FD"/>
    <w:rsid w:val="00BD5802"/>
    <w:rsid w:val="00BD6773"/>
    <w:rsid w:val="00BE0AEC"/>
    <w:rsid w:val="00BE2E7E"/>
    <w:rsid w:val="00BF4269"/>
    <w:rsid w:val="00C01610"/>
    <w:rsid w:val="00C01DB4"/>
    <w:rsid w:val="00C01F1B"/>
    <w:rsid w:val="00C02B2A"/>
    <w:rsid w:val="00C04CEF"/>
    <w:rsid w:val="00C11A82"/>
    <w:rsid w:val="00C20DAD"/>
    <w:rsid w:val="00C21708"/>
    <w:rsid w:val="00C225CD"/>
    <w:rsid w:val="00C454C7"/>
    <w:rsid w:val="00C53BB3"/>
    <w:rsid w:val="00C640C6"/>
    <w:rsid w:val="00C650B6"/>
    <w:rsid w:val="00C664CB"/>
    <w:rsid w:val="00C73A8A"/>
    <w:rsid w:val="00C73EF0"/>
    <w:rsid w:val="00C85D3D"/>
    <w:rsid w:val="00CA0683"/>
    <w:rsid w:val="00CA4CB5"/>
    <w:rsid w:val="00CB5AD6"/>
    <w:rsid w:val="00CB6E50"/>
    <w:rsid w:val="00CC00A6"/>
    <w:rsid w:val="00CC1721"/>
    <w:rsid w:val="00CD61DB"/>
    <w:rsid w:val="00CE1E3A"/>
    <w:rsid w:val="00CE4EBA"/>
    <w:rsid w:val="00CE6DED"/>
    <w:rsid w:val="00CF2866"/>
    <w:rsid w:val="00CF3236"/>
    <w:rsid w:val="00CF335B"/>
    <w:rsid w:val="00D20292"/>
    <w:rsid w:val="00D25106"/>
    <w:rsid w:val="00D2577A"/>
    <w:rsid w:val="00D25E30"/>
    <w:rsid w:val="00D308A8"/>
    <w:rsid w:val="00D3213C"/>
    <w:rsid w:val="00D32533"/>
    <w:rsid w:val="00D4283B"/>
    <w:rsid w:val="00D46ED8"/>
    <w:rsid w:val="00D53A97"/>
    <w:rsid w:val="00D549C0"/>
    <w:rsid w:val="00D54A31"/>
    <w:rsid w:val="00D60B93"/>
    <w:rsid w:val="00D667D0"/>
    <w:rsid w:val="00D758A3"/>
    <w:rsid w:val="00D76199"/>
    <w:rsid w:val="00D9172C"/>
    <w:rsid w:val="00DA1E04"/>
    <w:rsid w:val="00DA308C"/>
    <w:rsid w:val="00DB32C4"/>
    <w:rsid w:val="00DB6562"/>
    <w:rsid w:val="00DB6F54"/>
    <w:rsid w:val="00DC2F2C"/>
    <w:rsid w:val="00DD4E4A"/>
    <w:rsid w:val="00DD5E36"/>
    <w:rsid w:val="00DD7DCA"/>
    <w:rsid w:val="00DE1764"/>
    <w:rsid w:val="00DE1F75"/>
    <w:rsid w:val="00DE5B11"/>
    <w:rsid w:val="00E01756"/>
    <w:rsid w:val="00E16419"/>
    <w:rsid w:val="00E16C80"/>
    <w:rsid w:val="00E215C7"/>
    <w:rsid w:val="00E27D5E"/>
    <w:rsid w:val="00E37009"/>
    <w:rsid w:val="00E42D0A"/>
    <w:rsid w:val="00E557B1"/>
    <w:rsid w:val="00E606D1"/>
    <w:rsid w:val="00E61325"/>
    <w:rsid w:val="00E64B60"/>
    <w:rsid w:val="00E72682"/>
    <w:rsid w:val="00E7620A"/>
    <w:rsid w:val="00E80955"/>
    <w:rsid w:val="00E81CD3"/>
    <w:rsid w:val="00E82AD3"/>
    <w:rsid w:val="00E858E8"/>
    <w:rsid w:val="00E8748B"/>
    <w:rsid w:val="00EB3572"/>
    <w:rsid w:val="00EB45DB"/>
    <w:rsid w:val="00EB5F64"/>
    <w:rsid w:val="00EB6026"/>
    <w:rsid w:val="00EB7D4B"/>
    <w:rsid w:val="00EC0494"/>
    <w:rsid w:val="00EC14F6"/>
    <w:rsid w:val="00EC1A63"/>
    <w:rsid w:val="00EC2BA2"/>
    <w:rsid w:val="00EC37EA"/>
    <w:rsid w:val="00ED2EF4"/>
    <w:rsid w:val="00ED7B19"/>
    <w:rsid w:val="00ED7D11"/>
    <w:rsid w:val="00EE5446"/>
    <w:rsid w:val="00EF3285"/>
    <w:rsid w:val="00EF67C3"/>
    <w:rsid w:val="00F02F78"/>
    <w:rsid w:val="00F05AAF"/>
    <w:rsid w:val="00F05BD8"/>
    <w:rsid w:val="00F10636"/>
    <w:rsid w:val="00F10ED5"/>
    <w:rsid w:val="00F12892"/>
    <w:rsid w:val="00F176C4"/>
    <w:rsid w:val="00F20E42"/>
    <w:rsid w:val="00F21168"/>
    <w:rsid w:val="00F2208C"/>
    <w:rsid w:val="00F332A1"/>
    <w:rsid w:val="00F34B34"/>
    <w:rsid w:val="00F3627D"/>
    <w:rsid w:val="00F4791C"/>
    <w:rsid w:val="00F50712"/>
    <w:rsid w:val="00F5085E"/>
    <w:rsid w:val="00F54F59"/>
    <w:rsid w:val="00F563E7"/>
    <w:rsid w:val="00F61A5A"/>
    <w:rsid w:val="00F63C3A"/>
    <w:rsid w:val="00F66868"/>
    <w:rsid w:val="00F66D67"/>
    <w:rsid w:val="00F71432"/>
    <w:rsid w:val="00F75300"/>
    <w:rsid w:val="00F7660A"/>
    <w:rsid w:val="00F7730A"/>
    <w:rsid w:val="00F81EEA"/>
    <w:rsid w:val="00F83BEA"/>
    <w:rsid w:val="00F86E54"/>
    <w:rsid w:val="00F92E4B"/>
    <w:rsid w:val="00F97087"/>
    <w:rsid w:val="00FA343B"/>
    <w:rsid w:val="00FA4219"/>
    <w:rsid w:val="00FB1650"/>
    <w:rsid w:val="00FB5B6B"/>
    <w:rsid w:val="00FB698B"/>
    <w:rsid w:val="00FC49FC"/>
    <w:rsid w:val="00FD7248"/>
    <w:rsid w:val="00FE2A27"/>
    <w:rsid w:val="00FE2D1C"/>
    <w:rsid w:val="00FF3277"/>
    <w:rsid w:val="00FF4D33"/>
    <w:rsid w:val="00FF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D144C5-8E2A-4139-859E-34941AEE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22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1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D4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63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63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63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6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63F5"/>
    <w:rPr>
      <w:b/>
      <w:bCs/>
      <w:sz w:val="20"/>
      <w:szCs w:val="20"/>
    </w:rPr>
  </w:style>
  <w:style w:type="paragraph" w:customStyle="1" w:styleId="Style4">
    <w:name w:val="Style4"/>
    <w:basedOn w:val="Normalny"/>
    <w:uiPriority w:val="99"/>
    <w:rsid w:val="009418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9418D0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B3773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uiPriority w:val="99"/>
    <w:semiHidden/>
    <w:rsid w:val="00B37735"/>
  </w:style>
  <w:style w:type="character" w:customStyle="1" w:styleId="NagwekZnak1">
    <w:name w:val="Nagłówek Znak1"/>
    <w:link w:val="Nagwek"/>
    <w:uiPriority w:val="99"/>
    <w:locked/>
    <w:rsid w:val="00B377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1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93D"/>
  </w:style>
  <w:style w:type="character" w:customStyle="1" w:styleId="h11">
    <w:name w:val="h11"/>
    <w:basedOn w:val="Domylnaczcionkaakapitu"/>
    <w:rsid w:val="002E7FCF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CE1E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1FA37-216D-4EA5-8C14-A69FB010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2054</Words>
  <Characters>12329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GrECo International Holding AG</Company>
  <LinksUpToDate>false</LinksUpToDate>
  <CharactersWithSpaces>14355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Cichowski Łukasz - GrECo JLT PL</dc:creator>
  <cp:lastModifiedBy>user</cp:lastModifiedBy>
  <cp:revision>2</cp:revision>
  <cp:lastPrinted>2014-11-12T12:33:00Z</cp:lastPrinted>
  <dcterms:created xsi:type="dcterms:W3CDTF">2016-06-16T06:16:00Z</dcterms:created>
  <dcterms:modified xsi:type="dcterms:W3CDTF">2016-06-16T06:16:00Z</dcterms:modified>
</cp:coreProperties>
</file>