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tblpXSpec="center" w:tblpY="870"/>
        <w:tblW w:w="15276" w:type="dxa"/>
        <w:jc w:val="center"/>
        <w:tblBorders>
          <w:bottom w:val="single" w:sz="4" w:space="0" w:color="00000A"/>
          <w:insideH w:val="single" w:sz="4" w:space="0" w:color="00000A"/>
        </w:tblBorders>
        <w:tblLook w:val="04A0" w:firstRow="1" w:lastRow="0" w:firstColumn="1" w:lastColumn="0" w:noHBand="0" w:noVBand="1"/>
      </w:tblPr>
      <w:tblGrid>
        <w:gridCol w:w="704"/>
        <w:gridCol w:w="4677"/>
        <w:gridCol w:w="3231"/>
        <w:gridCol w:w="2553"/>
        <w:gridCol w:w="4111"/>
      </w:tblGrid>
      <w:tr w:rsidR="005F6F73">
        <w:trPr>
          <w:trHeight w:val="799"/>
          <w:jc w:val="center"/>
        </w:trPr>
        <w:tc>
          <w:tcPr>
            <w:tcW w:w="15276" w:type="dxa"/>
            <w:gridSpan w:val="5"/>
            <w:tcBorders>
              <w:bottom w:val="single" w:sz="4" w:space="0" w:color="00000A"/>
            </w:tcBorders>
            <w:shd w:val="clear" w:color="auto" w:fill="auto"/>
            <w:vAlign w:val="center"/>
          </w:tcPr>
          <w:p w:rsidR="005F6F73" w:rsidRDefault="00956184">
            <w:pPr>
              <w:pStyle w:val="Nagwek1"/>
            </w:pPr>
            <w:r>
              <w:rPr>
                <w:rFonts w:eastAsia="Arial Unicode MS"/>
                <w:bCs/>
                <w:sz w:val="28"/>
                <w:szCs w:val="28"/>
              </w:rPr>
              <w:t xml:space="preserve">  Aparat wiszący – sufitowy</w:t>
            </w:r>
            <w:r w:rsidR="00D71888">
              <w:rPr>
                <w:rFonts w:eastAsia="Arial Unicode MS"/>
                <w:bCs/>
                <w:sz w:val="28"/>
                <w:szCs w:val="28"/>
              </w:rPr>
              <w:t xml:space="preserve">  - 1 szt.                                                                                                               Załącznik nr 2                                                   </w:t>
            </w:r>
          </w:p>
        </w:tc>
      </w:tr>
      <w:tr w:rsidR="005F6F73">
        <w:trPr>
          <w:trHeight w:val="728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L.p.</w:t>
            </w: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Parametr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Parametr graniczny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 xml:space="preserve">Parametr oferowany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</w:rPr>
              <w:t>(wypełnia Wykonawca)</w:t>
            </w: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Punktacja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Informacje podstawowe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Producent, kraj pochodzenia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Nazwa, typ urządzenia, model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Rok produkcji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2017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Sprzęt fabrycznie nowy, nie powystawowy, nie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rekondycjonowany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, nie regenerowany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Jednopłaszczyznowy system rentgenowski do wykonywania procedur interwencyjnych i diagnostycznych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System umożliwiający wykonywania szerokiego zakresu badań naczyniowych: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obwodowych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brzusznych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mózgowych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klatki piersiowej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serca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Tryb angiografii rotacyjnej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Wyposażenie w rozwiązania sprzętowe i programowe redukujące w czasie rzeczywistym dawkę promieniowania, poprawiające jakość obrazu oraz umożliwiające obrazowanie z obniżoną dawką promieniowania jak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."CARE+CLEAR;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Dose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Wise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DoseRite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Clarity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IQ lub równoważne zgodne z 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nomenklaturą producenta)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stosowane rozwiązania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Statyw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Statyw zawieszony sufitowo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10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Położenie statywu umożliwiające wykonywanie zabiegów wewnątrznaczyniowych( statyw za głową pacjenta lub z boku stołu pacjenta) w obrębie głowy, szyi, klatki piersiowej, brzucha i kończyn dolnych (statyw z boku stołu pacjenta) – bez konieczności przekładania pacjenta i obrotu stołu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Obszar badania pacjenta bez konieczności przekładania pacjenta na stole, nie mniejszy niż 190 cm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 -10 pkt, pozostałe-1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Zakres projekcji LAO/RAO [°] w pozycji za głową pacjenta, nie mniej niż 280°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zakres w obu kierunkach [°]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Zakres projekcji CRAN/CAUD w pozycji statywu za głową pacjenta, nie mniej niż 110°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zakres w obu kierunkach [°]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Prędkość ruchów statywu w płaszczyźnie LAO/RAO w pozycji statywu za głową pacjenta nie mniej niż 18°/s, (z wyłączeniem angiografii rotacyjnej)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prędkość [°/s]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Prędkość ruchów statywu w płaszczyźnie CRAN/CAUD w pozycji statywu za głową pacjenta nie mniej niż 18°/s, (z wyłączeniem angiografii rotacyjnej)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prędkość [°/s]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Prędkość ruchów statywu przy wykonywaniu angiografii rotacyjnej nie mniej niż 50°/s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prędkość [°/s]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Pamięć pozycji statywu, minimum 50 pozycji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Tak, podać ilość 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największa-10pkt, pozostałe 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Elektryczne sterowanie silnikiem do ustawienia statywu w pozycji do badań w obszarze kończyn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System zabezpieczenia pacjenta przed kolizją z elementami aparatu i zaoferowanym stołem pacjenta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zastosowane rozwiązanie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Programowy (softwarowy) – 1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Elektromechaniczny lub elektroniczny (dotykowy) – 3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Pojemnościowy (bezdotykowy) – 10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Automatyczny, zmotoryzowany, obrót detektora  dla kompensacji obrotu obrazu przy zmianie położenia statywu dla dowolnej pozycji statywu lub równoważne rozwiązanie elektroniczne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Pozycja parkingowa statywu (odjazd statywu do pozycji umożliwiającej nieograniczony dostęp do pacjenta na stole ze wszystkich stron)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Elektryczne sterowanie silnikiem do ustawienia statywu w pozycji parkingowej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Ręczne (bez używania silników) ustawianie statywu w pozycji parkingowej z wbudowanym uruchamianym ręcznie hamulcem zamocowanym na uchwycie po obu stronach statywu.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pkt, Nie – 0pkt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Pulpit sterowniczy ruchów statywu w sali zabiegowej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360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Generator wysokiej częstotliwości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Moc wyjściowa nie mniejsza niż 100kW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[kW]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Minimalny czas ekspozycji ≤1 [ms]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[ms]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Max obciążenie generatora mocą ciągłą (dla min 10 minut) nie mniej niż 2400W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[W]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Przejście z prześwietlenia do rejestracji sceny bez wykonywania ekspozycji/serii kontrolnych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Maksymalny prąd przy prześwietleniu pulsacyjnym [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],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≥ 100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mA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Włączniki ekspozycji w sali badań (do prześwietleń i zdjęć)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stosowane rozwiązania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Włączniki ekspozycji w sterowni (do prześwietleń i zdjęć)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Czas uzyskania obrazu fluoroskopii po restarcie systemu komputerowego i generatora (jeżeli restart nie odbywa się jednocześnie czas należy zsumować) nie dłuższy niż 50 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36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Lampa RTG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Ułożyskowanie anody w łożysku „płynnym”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Lampa min. 2-ogniskowa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Anoda sterowana siatką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Wymiar największego ogniska, nie większy niż 1mm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[</w:t>
            </w:r>
            <w:r>
              <w:rPr>
                <w:rFonts w:ascii="Times New Roman" w:hAnsi="Times New Roman"/>
                <w:sz w:val="20"/>
                <w:szCs w:val="20"/>
              </w:rPr>
              <w:t>zgodnie z normą IEC 336]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[mm]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Wymiar najmniejszego ogniska, nie większy niż 0,6mm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[zgodnie z normą IEC 336]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[mm]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Pojemność cieplna anody nie mniejsza niż 2,4 MHU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[MHU]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 - 5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Wartości pozostałe - 1pkt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Pojemność cieplna kołpaka nie mniej niż 2,9 MHU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[MHU]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 - 5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Wartości pozostałe - 1pkt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Maksymalne obciążenie lampy mocą ciągłą w trakcie prześwietlenia [W] (dla min. 10 min) nie mniej niż 2500W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[W]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Szybkość obrotów anody</w:t>
            </w:r>
            <w:r>
              <w:rPr>
                <w:rFonts w:ascii="Times New Roman" w:hAnsi="Times New Roman"/>
                <w:sz w:val="18"/>
                <w:szCs w:val="18"/>
              </w:rPr>
              <w:tab/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Podać [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obr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/min]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Przysłona prostokątna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Filtry półprzepuszczalne (klinowe)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ustawienia przesłon półprzepuszczalnych, obrotowych i prostokątnych bez promieniowania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Pozycja przesłon wyświetlana na monitorze w trakcie ustawiania przesłon bez promieniowania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Dodatkowa filtracja promieniowania (filtry miedziowe) Cu przy prześwietleniu i ekspozycjach zdjęciowych/scenach, minimum odpowiednik 0,9 mm Cu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Tak, podać wartość największego pojedynczego filtra [mm]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 - 5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Wartości pozostałe - 1pkt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Automatyczny dobór dodatkowej, stałej niezmiennej filtracji promieniowania (np. filtr Cu) redukującej dawkę prześwietlenia w zależności od rodzaju badania. (W przypadku odpowiedzi TAK podać wartość zaoferowanej opcji [mm Cu])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wartość [mm]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Promieniowanie przeciekowe kołpaka przy warunkach 125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kV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, 2 kW, 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odl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maks. 1 m. (zgodnie z IEC 60601-1-3) nie większe niż 0,5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mGy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wartość [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mGy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/h]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Pomiar dawki promieniowania na wyjściu z lampy RTG wraz z prezentacją sumarycznej dawki z prześwietlenia i akwizycji w trybie zdjęciowym na monitorze/wyświetlaczu w sali zabiegowej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Stół hybrydowy - operacyjny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Producent, kraj pochodzenia, nazwa i typ stołu pacjenta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Przedmiot oferty będzie fabrycznie nowy (nie powystawowy, nie regenerowany). Rok produkcji- 2017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Certyfikaty CE (świadectwo)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Mocowanie stołu na podłodze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Stół operacyjny zsynchronizowany z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angiografem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na poziomie oprogramowania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Tak 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Pełna integracja pomiędzy stołem operacyjnym a aparatem angiograficznym, realizowaną poprzez: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a)Sterowanie funkcjami stołu z konsoli sterującej aparatu angiograficznego;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b)Sterowanie funkcjami stołu zarówno z bezprzewodowego /przewodowego pilota jak i przy użyciu joysticka znajdującego się przy stole;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c)Umieszczanie pulpitu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joystica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po dowolnej stronie stołu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Stół operacyjny pracujący w systemie wymiennych blatów składający się z: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Kolumna stacjonarna – sztuk 1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Transporter – sztuk: 2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Blat modularny – sztuk: 1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Blat naczyniowy – sztuk: 1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Wyposażenie dodatkowe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KOLUMNA STACJONARNA – sztuk: 1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Kolumna stołu systemu wymiennych blatów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Kolumna stacjonarna, wbetonowana w podłogę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Automatyczna detekcja położenia blatu stołu na kolumnie i odpowiednie przypisanie do niej przycisków sterujących blatem.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Kolumna (pionowa, teleskopowa) pokryta panelami ze stali Cr-Ni, bez jakichkolwiek „gumowych” osłon harmonijkowych,  jako elementów  utrudniających czyszczenie.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Maksymalne dopuszczalne obciążenie całkowite kolumny: ≥ 380 kg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TRANSPORTER – sztuk: 2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  <w:lang w:val="de-DE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System wymiennych blatów zapewniający możliwość transferu pacjenta razem z blatem za pomocą transportera. Rozwiązanie skutkujące możliwością dobrania różnego typu blatów optymalnie do dedykowanych typów zabiegów.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Transporter z regulacją wysokości i przechyłów wzdłużnych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wysokości transportera w zakresie min: 650mm – 800mm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Maksymalna waga transportera: 100 kg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Transporter z 5 kołem kierunkowym ułatwiającym jazdę na wprost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Maksymalne dopuszczalne obciążenie całkowite transportera: ≥ 380 kg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554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14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BLAT MODULARNY – sztuk: 1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Modularny blat stołu złożony z min. następujących segmentów: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Segment (dwuczęściowy) centralny blatu . 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Segment plecowy motoryczny montowany do segmentu centralnego blatu umożliwiający montaż i sterowane pilotem ruchy góra - dół płyty plecowej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Przedłużenie płyty plecowej, długości min. 250 mm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Podnóżek czteroczęściowy z możliwością uzyskania pozycji kolankowo-łokciowej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Podgłówek z podwójną manualną artykulacją umożliwiający uzyskanie stabilnej i bezpiecznej pozycji na boku. Podgłówek wyposażony w dwie oddzielne dźwignie oddzielnie sterujące pochyleniem w pierwszej i drugiej osi. Zakres manualnej regulacji podgłówka min (-40˚ do +50˚)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  <w:p w:rsidR="005F6F73" w:rsidRDefault="00956184">
            <w:pPr>
              <w:tabs>
                <w:tab w:val="left" w:pos="1455"/>
              </w:tabs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ab/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Segment centralny z elektromechanicznym ruchem obu części w zakresie min. 40˚ w górę i w dół.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Długość blatu w powyższej konfiguracji: min 2100 mm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Stół wyposażony w demontowane materace, zbudowane z pianki o dwóch gęstościach zapewniających pamięć kształtu i utrzymanie ciepłoty ciała pacjenta. Grubość minimum 80 mm; odporne na działanie środków dezynfekcyjnych.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Montaż materacy do blatu bez rzepów czy wciskanych zatrzasków. Pokrycie materacy bezszwowe - łączone ultradźwiękowo, antystatyczne i elektroprzewodzące.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Blat stołu wyposażony w system antykolizyjny ostrzegający użytkownika o możliwości wystąpienia kolizji pomiędzy segmentami blatu a kolumną lub podłogą sali.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Segmenty blatu przezierne w projekcji AP bez poprzecznych wzmocnień/poprzeczek utrudniających uzyskanie czystego obrazu RTG. Szerokość prześwitu dla promieni RTG pomiędzy metalowymi częściami blatu min 380 mm.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przedział 380mm do &lt; 400mm – 0 pkt.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- ≥400mm – 10 pkt.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Segmenty blatu łączone za pomocą „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szybkozłączek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” bez jakichkolwiek elementów śrubowych czy wsuwanych czopów.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Blat modularny posiadający min. trzy rzędy silników sterowanych za pomocą pilota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Funkcje regulowane pilotem sterującym (dla blatu modularnego) (min.):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wysokości położenia blatu w zakresie min. 550mm mierzone od najniższego położenia blatu do najwyższego położenia blatu.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pozycji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/anty-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zakresie min. ±60˚ .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przechyłów bocznych w zakresie min.± 30˚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przesuw wzdłużny w zakresie ≥ 350 mm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płyty plecowej w zakresie od min. -50˚ do min. +90˚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pozycja „0” za pomocą jednego przycisku.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pozycja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flex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reflex</w:t>
            </w:r>
            <w:proofErr w:type="spellEnd"/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pozycja „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beach-chair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”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uzyskania pozycja normalnej/odwróconej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blokowanie i odblokowanie funkcji motorycznych blatu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zapis dowolnych pozycji stołu dla użytkownika (min. 10 pozycji) z możliwością nadania im nazw własnych i edycji tych nazw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przywołanie pozycji stołu zapisanych w pamięci stołu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włączenie i wyłączenie podświetlenia przycisków pilota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włączenie i wyłączenie dźwięków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wysokości blatu modularnego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Min. 550mm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55cm do &lt;60cm - 0 pkt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60 cm do &lt;65 cm - 5 pkt.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≥65cm - 10 pkt.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Zakres regulacji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i anty-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blatu modularnego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Min. 60°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60° do &lt;70° - 0pkt.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70° do &lt;80° - 5 pkt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≥80° - 10 pkt.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przechyłów bocznych blatu modularnego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Min. min.± 30˚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30° do &lt;35° - 0 pkt.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35° do &lt; 40° - 5 pkt;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≥40° - 10 pkt.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Przesuw wzdłużny blatu modularnego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Min. 350mm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35cm do &lt;40cm - 0 pkt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od 40cm do &lt;45cm - 5 pkt ; 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≥45cm - 10 pkt.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Pilot zdalnego sterowania z podświetlaniem ułatwiającym pracę w zacienionej sali operacyjnej.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Pilot wyposażony w wyświetlacz informujący o (min.):</w:t>
            </w:r>
          </w:p>
          <w:p w:rsidR="005F6F73" w:rsidRDefault="0095618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pozycji normalnej i odwróconej pacjenta</w:t>
            </w:r>
          </w:p>
          <w:p w:rsidR="005F6F73" w:rsidRDefault="0095618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stanie blokady blatu stołu</w:t>
            </w:r>
          </w:p>
          <w:p w:rsidR="005F6F73" w:rsidRDefault="0095618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wykonywanej funkcji przez blat</w:t>
            </w:r>
          </w:p>
          <w:p w:rsidR="005F6F73" w:rsidRDefault="00956184">
            <w:pPr>
              <w:numPr>
                <w:ilvl w:val="0"/>
                <w:numId w:val="3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ew. błędach czy kolizjach blatu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Dodatkowy panel sterujący umieszczony na powierzchni kolumny stołu operacyjnego. Aktywny non stop; system nie wyłącza się automatycznie bez ingerencji obsługi; w celu aktywowania funkcji z panelu wymagana jest konieczność naciśnięcia dwóch przycisków jednocześnie dla uniknięcia przypadkowej aktywacji panelu.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Funkcje obsługiwane przez dodatkowy panel sterujący (min.)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wysokości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pozycji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/anty-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przechyłów bocznych</w:t>
            </w:r>
          </w:p>
          <w:p w:rsidR="005F6F73" w:rsidRDefault="00956184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14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BLAT NACZYNIOWY (pływający) – sztuk: 1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Naczyniowy blat stołu złożony z następujących segmentów: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Jednolity segment karbonowy, długości min. 2600mm bez podgłówka.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Segment przedłużający jednolity segment karbonowy - długości: 300 mm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Taca na cewniki, długości min 800mm (dołączana do blatu od strony nóg)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Blat przezierny 360 ˚ na długości min 2100 mm (warunek spełniony w sytuacji osadzenia blatu na kolumnie stołu)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Funkcje regulowane pilotem sterującym (dla blatu naczyniowego) (min.):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wysokość blatu w zakresie min. 600mm mierzone między najniższym a najwyższym położeniem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baltu</w:t>
            </w:r>
            <w:proofErr w:type="spellEnd"/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regulacja pozycji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/anty-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zakresie min. ±30˚ . Wymaga możliwość przejścia z pozycji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do anty-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Trendelenburga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pełnym zakresie czyli min. 60˚ od pozycji skrajnej do skrajnej.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regulacja przechyłów bocznych w zakresie min.± 25˚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przesuw wzdłużny w zakresie ≥ 600 mm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przesuw poprzeczny w zakresie ≥ 200 mm</w:t>
            </w:r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Udźwig blatu naczyniowego (karbonowego) min. 150kg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sterowania funkcjami blatu za pomocą: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joysticka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panelu sterującego na kolumnie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pilota sterującego</w:t>
            </w:r>
          </w:p>
          <w:p w:rsidR="005F6F73" w:rsidRDefault="00956184">
            <w:pPr>
              <w:numPr>
                <w:ilvl w:val="0"/>
                <w:numId w:val="2"/>
              </w:numPr>
              <w:spacing w:after="0" w:line="276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 konsoli sterowniczej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</w:p>
          <w:p w:rsidR="005F6F73" w:rsidRDefault="005F6F73">
            <w:pPr>
              <w:spacing w:after="0"/>
              <w:ind w:left="72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Synchronizacja stołu z systemem antykolizyjnym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. Ruchy ramienia i stołu z zachowaniem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izocentrum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</w:t>
            </w:r>
          </w:p>
          <w:p w:rsidR="005F6F73" w:rsidRDefault="005F6F73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napToGrid w:val="0"/>
              <w:spacing w:after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Sterowanie przesuwem blatu w płaszczyźnie XY za pomocą joysticka (regulowana prędkość przesuwu do 150mm/s) z zachowaniem płynności przesuwu oraz z systemem zabezpieczającym przed gwałtownym szarpnięciem w momencie aktywowania funkcji.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14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WYPOSAŻENIE DODATKOWE: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b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Akcesoria (min.):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Podpora pod rękę, anestezjologiczna, płaska z możliwością dowolnego ułożenia ręki względem stołu dzięki przegubowi kulowemu; regulacja jedną ręką; podpora mocowana do szyny bocznej; wyposażona w  zacisk do montażu; podpora wyposażona w pasy mocujące rękę – 2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 pacjenta – 2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Ekran anestetyczny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Wieszak na kroplówkę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Podpora ręki do fluoroskopii wsuwana pod materac blatu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Uchwyt przewodów anestetycznych mocowany na szynie akcesoryjnej do zawieszenia kurtyny separującej głowę i obszar abdominalny pacjenta  – 1szt.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Akrylowa, przezierna dla promieniowania RTG podpora ręki pacjenta utrzymująca ramie wzdłuż tułowia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Joystick blatu naczyniowego – 1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szt</w:t>
            </w:r>
            <w:proofErr w:type="spellEnd"/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Pilot bezprzewodowy IR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Ładowarka pilota IR - 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Pilot przewodowy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Taca na cewniki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Zacisk uniwersalny do montażu akcesoriów na szynach bocznych stołu – 4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Wózek na akcesoria z dwoma koszami – 1 szt.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Podgłówek karbonowy do blatu karbonowego po 1 szt. do każdego blatu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Min.: 1 materac na każdy zaoferowany blat</w:t>
            </w:r>
          </w:p>
          <w:p w:rsidR="005F6F73" w:rsidRDefault="00956184">
            <w:pPr>
              <w:pStyle w:val="Akapitzlist"/>
              <w:numPr>
                <w:ilvl w:val="0"/>
                <w:numId w:val="4"/>
              </w:num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Podkładka pod ramię z regulowaną wysokością dla dojścia z tętnicy promieniowej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Inne wymagania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Instrukcja obsługi przedmiotu oferty w języku polskim 1szt. papierowa dostarczona wraz z dostawą i 1szt. w wersji elektronicznej na płycie CD dołączona do oferty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Wszelkie posiadane materiały informacyjne na temat przedmiotu oferty min. prospekty,  broszury, dane techniczne, itp. w języku polskim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Oświadczamy, że przedmiot oferty jest kompletny i będzie gotowy do pracy zgodnie z instrukcją obsługi bez żadnych dodatkowych zakupów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napToGrid w:val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Dostawca zobowiązuje się do dokonania instalacji we wskazanym miejscu przez Zamawiającego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b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18"/>
                <w:szCs w:val="18"/>
              </w:rPr>
              <w:t>Warunki gwarancji i serwisu stołu hybrydowego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r>
              <w:rPr>
                <w:rFonts w:ascii="Times New Roman" w:hAnsi="Times New Roman"/>
                <w:sz w:val="18"/>
                <w:szCs w:val="18"/>
              </w:rPr>
              <w:t xml:space="preserve">Długość udzielanej gwarancji na stół hybrydowy wraz z dostarczonym </w:t>
            </w:r>
            <w:r w:rsidR="00D71888">
              <w:rPr>
                <w:rFonts w:ascii="Times New Roman" w:hAnsi="Times New Roman"/>
                <w:sz w:val="18"/>
                <w:szCs w:val="18"/>
              </w:rPr>
              <w:t>do niego osprzętem –  minimum 36 miesięcy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Autoryzowany serwis na terenie Polski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Czas reakcji serwisu na zgłoszenie z podjęciem naprawy (nie dłuższy niż 48h w dni robocze tj. od poniedziałku do piątku z wyłączeniem dni ustawowo wolnych od pracy) liczony od dnia zgłoszenia usterki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Czas naprawy bez użycia części zamiennych (nie dłuższy niż 24 h) liczony od momentu podjęcia naprawy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Czas naprawy z użyciem części zamiennych (nie dłuższy niż 48 h) liczony od momentu podjęcia naprawy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Godziny i sposób przyjmowania zgłoszeń o awariach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Bezpłatne przeglądy okresowe w okresie gwarancji, minimum jeden rocznie ( wynikające z instrukcji lub dokumentacji technicznej , warunków gwarancji)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Czas naprawy gwarancyjnej (nie więcej niż 7 dni kalendarzowych), po przekroczeniu którego przedłuża się gwarancję o 3-krotny czas przerwy w eksploatacji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70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Liczba napraw gwarancyjnych tego samego podzespołu uprawniająca do wymiany tego podzespołu oraz podzespołów bezpośrednio mających wpływ na jego funkcjonowanie na nowe (nie więcej niż 3)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Tor obrazowania z detektorem płaskim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Detektor cyfrowy o wymiarach minimum 30x40cm z polem obrazowania 30x38 cm.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[cm]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typowa DQE [%], minimalnie 73%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[%]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Wielkość piksela w detektorze ≤200µm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 µm]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najmniejsza-10 pkt,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Pozostałe-1 pkt 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Ilość pól widzenia (FOV - field of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view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nie mniej niż 5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największa – 10 pkt,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Pozostałe-1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Rozdzielczość przestrzenna detektora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tzw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częstotliwość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Nyquista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) minimum 2,5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/mm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Wartość największa -10 pkt,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Pozostałe - 1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Wizualizacja aktualnie wybranego pola obrazowania znacznikami graficznymi na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zatrzymanem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obrazie- bez promieniowania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Monitor min. 56" w sali zabiegowej z zawieszeniem sufitowym z możliwością swobodnego pozycjonowania monitora dookoła stołu, ręcznie i/ lub za pomocą sterownika.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jednoczesnej prezentacji: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obrazu live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obrazu referencyjnego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obrazów wzmacniania krawędzi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stentów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wieńcowych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parametrów hemodynamiki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obrazów z urządzeń zewnętrznych generujących zarówno analogowy (min. VGA, S-Video 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composite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) - wraz z zapewnieniem odpowiedniej separacji galwanicznej - jak i cyfrowy (DVI-D) sygnał wizyjny wraz z dedykowanym panelem umożliwiającym podłączanie takich urządzeń (np. USG, IVUS)  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Ręcznie + za pomocą sterownika –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Ręcznie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podziału monitora min 56" na minimum 8 niezależnych pól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Interakcja z monitorem min. 56 calowym za pomocą myszy w zakresie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conajmniej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Płynnej zmiany wielkości okien wyświetlających poszczególne aplikacje (w tym pochodzące ze źródeł zewnętrznych w stosunku do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Zmiany wzorca ułożeń obrazów na dużym monitorze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Zrzutu wybranego ekranu jednym kliknięciem myszy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zmiany położenia poszczególnych aplikacji metodą „przeciągnij i upuść”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Sektorowy system zasilania monitora min 56" - co najmniej 2 sektory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Predefiniowanie podziału monitora min 56" - minimum 10 opcji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zapisania wszystkich obrazów widocznych na monitorze min. 56" w formie elektronicznej (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print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screen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dowolnej liczby manipulacji podziałami monitora, niezależnie od wcześniejszego zaprogramowania, łącznie z powiększeniem dowolnego obrazu za pomocą myszki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Minimum 2 monitory obrazowe typu "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" (TFT/LCD) w sterowni z możliwością wyświetlania obrazów w czasie rzeczywistym i referencyjnego o przekątnej minimum 19"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Wartość największa –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Pozostałe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Monitory obrazowe w sterowni z możliwością wyświetlania obrazów z minimalnie 11 źródeł i funkcjonalnością definiowania rozmieszczenia poszczególnych obrazów na monitorach zgodnie ze zdefiniowanymi wzorcami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Możliwość podziału każdego z monitorów w sterowni na min. 4 pola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Minimum 2 monitory obrazowe typu „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flat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” (LCD/TFT) w stali badań po przeciwnej stronie monitora min. 56” ( 1 dla obrazu w czasie rzeczywistym, 1 dla obrazu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referenyjnego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o przekątnej min. 19” z zawieszeniem sufitowym.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Luminancja monitorów obrazowych w sterowni, minimum 400cd/m</w:t>
            </w:r>
            <w:r>
              <w:rPr>
                <w:rFonts w:ascii="Times New Roman" w:hAnsi="Times New Roman"/>
                <w:sz w:val="18"/>
                <w:szCs w:val="18"/>
                <w:vertAlign w:val="superscript"/>
              </w:rPr>
              <w:t xml:space="preserve">2 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Cyfrowy obraz/archiwizacja/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18"/>
              </w:rPr>
              <w:t>postprocessing</w:t>
            </w:r>
            <w:proofErr w:type="spellEnd"/>
            <w:r>
              <w:rPr>
                <w:rFonts w:ascii="Times New Roman" w:hAnsi="Times New Roman"/>
                <w:b/>
                <w:sz w:val="24"/>
                <w:szCs w:val="18"/>
              </w:rPr>
              <w:t>, rekonstrukcja 3D, przeglądanie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Matryca akwizycyjna nie mniejsza niż 1024x1024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Matryca prezentacyjna nie mniejsza niż 1024x1024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Akwizycja i zapis na dysku twardym scen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kardioangiograficznych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matrycy min. 1024 x 1024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[obraz/s]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Rzeczywista głębokość przetwarzania systemu cyfrowego [bit] dla scen kardiologicznych w matrycy 1024x1024 minimum 12 bitów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Akwizycja obrazów dla badań kardiologicznych z szybkością minimum 15 i 30 obrazów/s oraz co najmniej 1 wartość &lt;10 obrazów/s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[obrazów/s]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Cyfrowe prześwietlenie pulsacyjne w zakresie 7,5-30 pulsów/s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[pulsów/s]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Akwizycja i archiwizacja obrazów na HD z fluoroskopii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Filtracja on-line zbieranych danych obrazowych przez system cyfrowy przed ich prezentacją na monitorze obrazowym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Pamięć obrazów na HD (bez uwzględnienia dodatkowych konsol, dysków, pamięci zewnętrznych typu USB, nośników typu CD/DVD), minimum 100 000 obrazów w matrycy 1024 x 1024 x min 10 bit bez kompresji stratnej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Długość nagrywanych obrazów ruchomych z fluoroskopii minimum 10s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Szybkość akwizycji obrazów w trybach DR - radiografii cyfrowej i DSA na dysk twardy aparatu w matrycy </w:t>
            </w:r>
            <w:r>
              <w:rPr>
                <w:rFonts w:ascii="Times New Roman" w:hAnsi="Times New Roman"/>
                <w:sz w:val="20"/>
                <w:szCs w:val="20"/>
                <w:u w:val="single"/>
              </w:rPr>
              <w:t>&gt;</w:t>
            </w:r>
            <w:r>
              <w:rPr>
                <w:rFonts w:ascii="Times New Roman" w:hAnsi="Times New Roman"/>
                <w:sz w:val="18"/>
                <w:szCs w:val="18"/>
              </w:rPr>
              <w:t>1024 x1024 w zakresie nie mniejszym niż od 1 do 6 obrazów/s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Podać [obrazów/s]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Pamięć ostatniego obrazu (LIH)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Całość systemu obrazowania angiograficznego wyposażona w funkcje umożliwiające redukcję dawki promieniowania o minimum 50% w badaniach kardiologicznych i o minimum 70% w badaniach DSA w stosunku do badań wykonywanych na systemach angiograficznych oferenta w latach wcześniejszych</w:t>
            </w:r>
          </w:p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 (podać miejsce publikacji, tytuły i autorów)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wykonania badań z wykorzystaniem CO2 jako środka kontrastowego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322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DSA online i offline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Ustawianie położenia przysłon znacznikami graficznymi na obrazie zatrzymanym bez promieniowania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Ustawianie położenia przysłon półprzepuszczalnych znacznikami graficznymi na obrazie zatrzymanym bez promieniowania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o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Automatyczne podążanie przesłon półprzepuszczalnych podczas zmiany projekcji kardiologicznych – automatyczny dobór położenia przesłon zależnie od zastosowanej projekcji i wybranej tętnicy wieńcowej zapewniający redukcją dawki promieniowania oraz kompensację jasności obrazu (przysłonięcie płuc)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o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Automatyczny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pixelshift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czasie rzeczywistym podczas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roadmappingu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Powiększenie 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postprocessingu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Funkcja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roadmap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2D i 3D dynamiczny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Funkcja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roadmap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dynamiczny dla procedur w obrębie naczyń wieńcowych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Tak – 10 pkt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Specjalistyczne oprogramowanie do wizualizacji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stentów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wieńcowych w czasie rzeczywistym podczas procedur inwazyjnych z możliwością obsługi oprogramowania z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panela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sterowniczego w sali badań i wyświetlanie obrazów na monitorze w sali badań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Automatyczne wyszukiwanie znacznika wprowadzonego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stentu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Pulpit sterowniczy systemu cyfrowego w sali badań oraz sterowanie funkcjami systemu cyfrowego z pulpitu sterowniczego w sali badań (łącznie z analizą zwężeń naczyń w obrazach dwuwymiarowych)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Ustawianie pozycji przesłon poprzez przesuw palcem bezpośrednio na obrazie wyświetlonym na ekranie dotykowym pulpitu sterowniczego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sali badań.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 xml:space="preserve">Ustawianie pozycji przysłon półprzepuszczalnych wraz z ich obrotem poprzez przesuw palcem bezpośrednio na obrazie wyświetlonym na ekranie dotykowym pulpitu sterowniczego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angiografu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w sali badań.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Integracja aplikacji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oraz aplikacji ze źródeł zewnętrznych w stosunku do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(system hemodynamiczny, zewnętrzny laptop, stacja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postprocessinowa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) z monitorem min. 56 calowym w sali badań umożliwiająca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conajmniej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Przechwytywania myszy przez poszczególne aplikacje w sposób płynny po przesunięcia kursora nad daną aplikacje</w:t>
            </w:r>
          </w:p>
          <w:p w:rsidR="005F6F73" w:rsidRDefault="009561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Pełna kontrola nad wyświetlanymi aplikacjami (również ze źródeł zewnętrznych w stosunku do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) za pomocą myszy i ekranu dotykowego w Sali badań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Możliwość zmiany parametrów obrazowania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z poziomu monitora min. 56 calowego w Sali badań w zakresie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conajmniej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: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zmiana programu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antomicznego</w:t>
            </w:r>
            <w:proofErr w:type="spellEnd"/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- zmiana prędkości filmowania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sprzężenie strzykawki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zmian ustawień fluoroskopii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zmiana ustawień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roadmappingu</w:t>
            </w:r>
            <w:proofErr w:type="spellEnd"/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przegladanie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serii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ustawienie obrazu referencyjnego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Archiwizacja obrazów na nośnikach CD-R/DVD-R w standardzie DICOM 3.0 z dogrywaniem przeglądarki DICOM umożliwiającej odtwarzanie nagrania na komputerze osobistym.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Odtwarzanie badań nagranych w standardzie DICOM na nośnikach  CD-R/DVD-R (wcześniej lub na innych aparatach) przez system cyfrowy zaoferowanego aparatu (lub dodatkową, osobną stację roboczą) wraz z prezentacją odtworzonych obrazów na monitorach obrazowych w sterowni oraz sali badań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Interfejs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DICOM 3.0 (minimum 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zakresie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: Storage, Send, Print, Query/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Retrive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Worklist)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Wyświetlanie (przeglądanie) i archiwizacja obrazów angiograficznych w tym z DSA łącznie z funkcją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pixelshift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dla obrazów z DSA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Wyświetlanie (przeglądanie) i archiwizacja obrazów pochodzących z innych urządzeń diagnostyki obrazowej w standardzie DICOM 3.0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eksportowania danych (obrazów statycznych i dynamicznych) w różnych formatach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Akwizycja przebiegu EKG, prezentacja na monitorach obrazowych w sali zabiegowej i w sterowni oraz zapis na HD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Archiwizacja przebiegu EKG na CD-R/DVD-R  razem ze sceną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kardioangiograficzną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Angiografia rotacyjna i 3D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Pulpit obsługi stacji rekonstrukcji 3D przy stole pacjenta (zintegrowany w pulpicie obsługi systemu cyfrowego angiografii lub osobny) i w sterowni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Obrazowanie struktur serca w 3D z możliwością nałożenia mapy 3D na obraz rzeczywisty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Oprogramowanie do rekonstrukcji wysokokontrastowej 3D z danych uzyskanych z akwizycji w szybkiej angiografii rotacyjnej w trybie DR i DSA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Analiza zwężeń z obiekcie 3D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Oprogramowanie pozwalające na import przy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roadmapingu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3D obrazów KT i MR i ich wspólną rejestrację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Automatyczny obrót obiektu w rekonstrukcji trójwymiarowej do położenia odpowiadającego trójwymiarowemu widokowi obiektu po zmianie położenia statywu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Automatyczne ustawienie statywu w pozycji odpowiadającej obróconemu obiektowi trójwymiarowemu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Wykonywanie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w.w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>. analiz oraz pomiarów, kalibracji, wyboru scen i kopiowania obrazów na monitor referencyjny podczas trwania fluoroskopii oraz akwizycji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jc w:val="both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Tak- 5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Specjalistyczne oprogramowanie do rekonstrukcji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niskokontrastowej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3D z danych uzyskanych z akwizycji w szybkiej angiografii rotacyjnej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Angiografia peryferyjna całych kończyn z jednego wstrzyknięcia kontrastu z DSA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Metoda wykonywania angiografii peryferyjnej - bolus realizowany przesuwem płynnym stołu przy nieruchomym statywie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Tak. Opisać opcję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Przesuw płynny stołu przy nieruchomym statywie i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z interaktywnym wpływem na przebieg badania w czasie jego trwania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Inne 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Rozszerzenie skanu rotacyjnego, zapewniającego trójwymiarowy wgląd w czasie rzeczywistym do drzewa tętnic wieńcowych, ruch statywu po zaprogramowanej trajektorii w projekcjach: LAO/RAO - CRAN/CAUD - RAO/LAO. Z możliwością zaprogramowania, co najmniej 5 trajektorii. Procedura akwizycji sterowana za pomocą ręcznego lub nożnego przełącznika ekspozycji. Funkcjonalność potwierdzona w co najmniej 3 oficjalnych badaniach klinicznych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Tak-10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Nie-1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Archiwizacja danych obrazowych na dyskach CD-R i DVD-R w formacie DICOM w sposób umożliwiający ich odtwarzanie na dowolnym komputerze PC bez żadnego dodatkowego oprogramowania klinicznego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rPr>
                <w:rFonts w:ascii="Times New Roman" w:hAnsi="Times New Roman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Odtwarzanie wcześniej nagranych na nośnikach jednokrotnego zapisu CD-R/DVD-R obrazów w standardzie DICOM 3.0, lub na innych aparatach, przez system cyfrowy aparatu lub zintegrowaną stację roboczą, wraz z prezentacja, odtworzonych obrazów na monitorach obrazowych w sterowni i sali zabiegowej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Realizacja funkcji system cyfrowego z pulpit sterowniczego w Sali zabiegowej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val="en-US"/>
              </w:rPr>
            </w:pP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Interfejs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 DICOM 3.0 (minimum w 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zakresie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>: Storage, Send, Print, Query/</w:t>
            </w:r>
            <w:proofErr w:type="spellStart"/>
            <w:r>
              <w:rPr>
                <w:rFonts w:ascii="Times New Roman" w:hAnsi="Times New Roman"/>
                <w:sz w:val="18"/>
                <w:szCs w:val="18"/>
                <w:lang w:val="en-US"/>
              </w:rPr>
              <w:t>Retrive</w:t>
            </w:r>
            <w:proofErr w:type="spellEnd"/>
            <w:r>
              <w:rPr>
                <w:rFonts w:ascii="Times New Roman" w:hAnsi="Times New Roman"/>
                <w:sz w:val="18"/>
                <w:szCs w:val="18"/>
                <w:lang w:val="en-US"/>
              </w:rPr>
              <w:t xml:space="preserve">, Worklist) </w:t>
            </w:r>
            <w:r>
              <w:rPr>
                <w:rFonts w:ascii="Times New Roman" w:hAnsi="Times New Roman"/>
                <w:lang w:val="en-US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Zapis obrazów na napędzie CD/DVD/R/RW w standardzie DICOM 3.0 z dogrywaniem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viewera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</w:t>
            </w:r>
          </w:p>
        </w:tc>
      </w:tr>
      <w:tr w:rsidR="005F6F73">
        <w:trPr>
          <w:trHeight w:val="417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14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Stacja </w:t>
            </w:r>
            <w:proofErr w:type="spellStart"/>
            <w:r>
              <w:rPr>
                <w:rFonts w:ascii="Times New Roman" w:hAnsi="Times New Roman"/>
                <w:b/>
                <w:sz w:val="24"/>
                <w:szCs w:val="24"/>
              </w:rPr>
              <w:t>postprocesingowa</w:t>
            </w:r>
            <w:proofErr w:type="spellEnd"/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realizująca wymogi funkcjonalne i techniczne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Wyprowadzenie sygnału obrazowego na monitor w sali zabiegowej opisany w poprzednich sekcjach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  <w:p w:rsidR="005F6F73" w:rsidRDefault="005F6F73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Monitor stacji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postprocesingowej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min. 19” TFT/LCD kolorowy w sterowni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HDD ≥290 GB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Możliwość wyświetlania/przeglądania/archiwizacji obrazów pochodzących z innych urządzeń diagnostyki obrazowej(zgodnych ze standardem DICOM)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ZOOM i lupa</w:t>
            </w:r>
          </w:p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 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DICOM 3.0:</w:t>
            </w:r>
          </w:p>
          <w:p w:rsidR="005F6F73" w:rsidRDefault="0095618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Dicom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Send</w:t>
            </w:r>
            <w:proofErr w:type="spellEnd"/>
          </w:p>
          <w:p w:rsidR="005F6F73" w:rsidRDefault="00956184">
            <w:pPr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Dicom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Query/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Retrieve</w:t>
            </w:r>
            <w:proofErr w:type="spellEnd"/>
          </w:p>
          <w:p w:rsidR="005F6F73" w:rsidRDefault="00956184">
            <w:pPr>
              <w:tabs>
                <w:tab w:val="left" w:pos="6120"/>
              </w:tabs>
              <w:spacing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Dicom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Receive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Zapis obrazów na napędzie CD/DVD/R/RW w standardzie DICOM 3.0 z dogrywaniem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viewera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Export danych w formacie Windows (obrazy statyczne i dynamiczne)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highlight w:val="yellow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spacing w:after="0" w:line="240" w:lineRule="auto"/>
              <w:ind w:left="50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Wyposażenia dodatkowe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Wyłącznik bezpieczeństwa w sterowni oraz sali badań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UPS bezprzerwowo podtrzymujący fluoroskopię i ruchy ramienia przez min. 10 minut  w przypadku awarii zasilania bez konieczności restartu systemu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Interkom do komunikacji głosowej dwukierunkowej pomiędzy sterownią a salą zabiegową.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Osłony przed promieniowaniem na dolne partie ciała (dla personelu) w postaci fartucha z gumy ołowiowej mocowanego z boku stołu pacjenta i przed stopą stołu pacjenta- 2 szt.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Osłona przed promieniowaniem na górne części ciała w postaci szyby ołowiowej mocowanej na suficie – 1 szt.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Fartuch ochronny, dwuczęściowy (kamizelka + spódnica) wykonany z tworzywa bezołowiowego o ekwiwalencie minimum 0,5mm Pb w całości fartucha - 8 sztuk.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Wybór rozmiarów po uzgodnieniu z Zamawiającym.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Osłona na tarczycę wykonana z tworzywa bezołowiowego o ekwiwalencie minimum 0,5mm Pb w całości osłony - 8 sztuk.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Wybór rozmiarów po uzgodnieniu z Zamawiającym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Okulary ochronne wykonane z lekkiego tworzywa z ochrona czołowa o równoważniku minimum 0,75mm Pb z możliwością korekcji wady wzroku - 3 sztuk, bez możliwości korekcji wady wzroku 3 sztuki.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Wybór okularów po uzgodnieniu z Zamawiającym.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Lampa operacyjna oświetlająca pole cewnikowania światłem o natężeniu min. 50 000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lux</w:t>
            </w:r>
            <w:proofErr w:type="spellEnd"/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Dodatkowe wyposażenie: podpórka pod głowę, podpórka pod ramiona, pasy pacjenta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sz w:val="16"/>
                <w:szCs w:val="18"/>
              </w:rPr>
            </w:pPr>
            <w:r>
              <w:rPr>
                <w:sz w:val="16"/>
                <w:szCs w:val="18"/>
              </w:rPr>
              <w:t xml:space="preserve">Automatyczny, cyfrowy </w:t>
            </w:r>
            <w:proofErr w:type="spellStart"/>
            <w:r>
              <w:rPr>
                <w:sz w:val="16"/>
                <w:szCs w:val="18"/>
              </w:rPr>
              <w:t>wstrzykiwacz</w:t>
            </w:r>
            <w:proofErr w:type="spellEnd"/>
            <w:r>
              <w:rPr>
                <w:sz w:val="16"/>
                <w:szCs w:val="18"/>
              </w:rPr>
              <w:t xml:space="preserve"> kontrastu CO2 – z możliwością zaprogramowania objętości i ciśnienia CO2 i automatycznego wyzwolenia wstrzyknięcia za pomocą pilota.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trHeight w:val="421"/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ind w:left="142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4572" w:type="dxa"/>
            <w:gridSpan w:val="4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sz w:val="24"/>
                <w:szCs w:val="18"/>
              </w:rPr>
              <w:t>Pozostałe wymagania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Instrukcja obsługi w języku polskim w formie papierowej i elektronicznej wraz z dostawą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Dostawca zobowiązuje się do dokonania instalacji we wskazanym miejscu przez Zamawiającego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Dostawca zobowiązuje się do przeprowadzenia: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- szkolenia aplikacyjnego w zakresie obsługi przedmiotu zamówienia zgodnie z wymaganiami producenta (nie mniej niż 5 dni roboczych) 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- szkolenia personelu technicznego w zakresie obsługi technicznej i konserwacji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Zagwarantowanie dostępności części przez minimum 10 lat od dostawy </w:t>
            </w:r>
            <w:r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oświadczenie załączyć wraz z dostawą aparatu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Użycie wyłącznie nowych części zamiennych w okresie gwarancyjnym i pogwarancyjnym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oświadczenie załączyć wraz z dostawą aparatu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8C5E13">
            <w:pPr>
              <w:spacing w:after="0" w:line="240" w:lineRule="auto"/>
            </w:pPr>
            <w:r>
              <w:rPr>
                <w:rFonts w:ascii="Times New Roman" w:hAnsi="Times New Roman"/>
                <w:sz w:val="18"/>
                <w:szCs w:val="18"/>
              </w:rPr>
              <w:t>Gwarancja minimum 36 miesięcy</w:t>
            </w:r>
            <w:r w:rsidR="00956184">
              <w:rPr>
                <w:rFonts w:ascii="Times New Roman" w:hAnsi="Times New Roman"/>
                <w:sz w:val="18"/>
                <w:szCs w:val="18"/>
              </w:rPr>
              <w:t xml:space="preserve"> przez autoryzowany serwis (podać okres), pełna wraz z bezpłatnymi przeglądami i niezbędnymi czynnościami konserwacyjnymi oraz przewidywanymi prawem testami w okresie gwarancji (min 2 w roku).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Ostatni przegląd nie dłużej niż miesiąc przed końcem gwarancji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W okresie gwara</w:t>
            </w:r>
            <w:r w:rsidR="008C5E13">
              <w:rPr>
                <w:rFonts w:ascii="Times New Roman" w:hAnsi="Times New Roman"/>
                <w:sz w:val="18"/>
                <w:szCs w:val="18"/>
              </w:rPr>
              <w:t xml:space="preserve">ncji </w:t>
            </w:r>
            <w:r>
              <w:rPr>
                <w:rFonts w:ascii="Times New Roman" w:hAnsi="Times New Roman"/>
                <w:sz w:val="18"/>
                <w:szCs w:val="18"/>
              </w:rPr>
              <w:t>Wykonawca przeprowadzi przeglądy przedmiotu zamówienia w ilości i zakresie zgodnym z wymogami określonymi w dokumentacji technicznej łącznie z wymianą wszystkich części i materiałów eksploatacy</w:t>
            </w:r>
            <w:r w:rsidR="008C5E13">
              <w:rPr>
                <w:rFonts w:ascii="Times New Roman" w:hAnsi="Times New Roman"/>
                <w:sz w:val="18"/>
                <w:szCs w:val="18"/>
              </w:rPr>
              <w:t xml:space="preserve">jnych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niezbędnych do wykonania przeglądu, obejmujący naprawy w pełnym zakresie zgodnie z kartą gwarancyjną; ostatni przegląd w ostatnim miesiącu gwarancji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Częstotliwość przeglądów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Podać i opisać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Czas reakcji na zgłoszenie awarii - do 24 godz. (w dni robocze), czas usunięcia zgłoszonych usterek i wykonania napraw maks. 3 dni roboczych, czas wykonania napraw, w przypadku konieczności sprowadzenia z zagranicy części zamiennych lub podzespołów maks. 7 dni roboczych  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Zdalna diagnostyka serwisowa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Kardioangiografu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komputerowego z możliwością oceny technicznej poszczególnych modułów.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Zamawiający udostępni niezbędny do tego celu tunel VPN.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Instalacja </w:t>
            </w:r>
            <w:proofErr w:type="spellStart"/>
            <w:r>
              <w:rPr>
                <w:rFonts w:ascii="Times New Roman" w:hAnsi="Times New Roman"/>
                <w:sz w:val="18"/>
                <w:szCs w:val="18"/>
              </w:rPr>
              <w:t>angiografu</w:t>
            </w:r>
            <w:proofErr w:type="spellEnd"/>
            <w:r>
              <w:rPr>
                <w:rFonts w:ascii="Times New Roman" w:hAnsi="Times New Roman"/>
                <w:sz w:val="18"/>
                <w:szCs w:val="18"/>
              </w:rPr>
              <w:t xml:space="preserve"> w sposób eliminujący konieczność umieszczenia jednostek komputerowych w sterowni – wszystkie sygnały wyprowadzone na monitory w sterowni lub sali badań, sterowanie za pomocą centralnej klawiatury i myszy.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Tak/Nie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 – 10 pkt</w:t>
            </w:r>
          </w:p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Nie – 0 pkt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Autoryzowany serwis gwarancyjny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Tak, podać wraz z danymi kontaktowymi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Paszport techniczny (dostawa z urządzeniem)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Broszury techniczne, instrukcje, foldery potwierdzające spełnienie wymagań( dostawa wraz z dokumentacją przetargową)</w:t>
            </w:r>
          </w:p>
        </w:tc>
        <w:tc>
          <w:tcPr>
            <w:tcW w:w="323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Tak</w:t>
            </w:r>
          </w:p>
        </w:tc>
        <w:tc>
          <w:tcPr>
            <w:tcW w:w="25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956184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Bez oceny punktowej</w:t>
            </w:r>
          </w:p>
        </w:tc>
      </w:tr>
      <w:tr w:rsidR="005F6F73">
        <w:trPr>
          <w:jc w:val="center"/>
        </w:trPr>
        <w:tc>
          <w:tcPr>
            <w:tcW w:w="704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677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956184">
            <w:pPr>
              <w:pStyle w:val="AbsatzTableFormat"/>
              <w:rPr>
                <w:rFonts w:ascii="Times New Roman" w:hAnsi="Times New Roman" w:cs="Times New Roman"/>
                <w:sz w:val="16"/>
                <w:szCs w:val="24"/>
                <w:lang w:eastAsia="pl-PL"/>
              </w:rPr>
            </w:pPr>
            <w:r>
              <w:rPr>
                <w:rFonts w:ascii="Times New Roman" w:hAnsi="Times New Roman" w:cs="Times New Roman"/>
                <w:sz w:val="16"/>
                <w:szCs w:val="24"/>
                <w:lang w:eastAsia="pl-PL"/>
              </w:rPr>
              <w:t>Udostępnienie sygnału live w sieci komputerowej szpitala  przy pomocy dedykowanego programu na wybranych komputerach poza blokiem operacyjnym.</w:t>
            </w:r>
          </w:p>
        </w:tc>
        <w:tc>
          <w:tcPr>
            <w:tcW w:w="323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</w:pPr>
          </w:p>
        </w:tc>
        <w:tc>
          <w:tcPr>
            <w:tcW w:w="2553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  <w:vAlign w:val="center"/>
          </w:tcPr>
          <w:p w:rsidR="005F6F73" w:rsidRDefault="005F6F73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4111" w:type="dxa"/>
            <w:tcBorders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88" w:type="dxa"/>
            </w:tcMar>
          </w:tcPr>
          <w:p w:rsidR="005F6F73" w:rsidRDefault="005F6F73">
            <w:pPr>
              <w:spacing w:after="0" w:line="240" w:lineRule="auto"/>
            </w:pPr>
          </w:p>
        </w:tc>
      </w:tr>
    </w:tbl>
    <w:p w:rsidR="005F6F73" w:rsidRDefault="005F6F73">
      <w:pPr>
        <w:pStyle w:val="Stopka"/>
        <w:tabs>
          <w:tab w:val="left" w:pos="708"/>
        </w:tabs>
        <w:jc w:val="both"/>
        <w:rPr>
          <w:rFonts w:ascii="Times New Roman" w:hAnsi="Times New Roman"/>
          <w:bCs/>
          <w:sz w:val="18"/>
          <w:szCs w:val="18"/>
        </w:rPr>
      </w:pPr>
    </w:p>
    <w:p w:rsidR="005F6F73" w:rsidRDefault="005F6F73">
      <w:pPr>
        <w:pStyle w:val="Standard"/>
        <w:tabs>
          <w:tab w:val="left" w:pos="426"/>
        </w:tabs>
        <w:jc w:val="both"/>
        <w:rPr>
          <w:sz w:val="18"/>
          <w:szCs w:val="18"/>
        </w:rPr>
      </w:pPr>
      <w:bookmarkStart w:id="0" w:name="_GoBack"/>
      <w:bookmarkEnd w:id="0"/>
    </w:p>
    <w:p w:rsidR="005F6F73" w:rsidRDefault="005F6F73">
      <w:pPr>
        <w:pStyle w:val="Standard"/>
        <w:tabs>
          <w:tab w:val="left" w:pos="426"/>
        </w:tabs>
        <w:jc w:val="both"/>
        <w:rPr>
          <w:sz w:val="18"/>
          <w:szCs w:val="18"/>
        </w:rPr>
      </w:pPr>
    </w:p>
    <w:p w:rsidR="005F6F73" w:rsidRDefault="005F6F73">
      <w:pPr>
        <w:pStyle w:val="Standard"/>
        <w:tabs>
          <w:tab w:val="left" w:pos="426"/>
        </w:tabs>
        <w:jc w:val="both"/>
      </w:pPr>
    </w:p>
    <w:sectPr w:rsidR="005F6F73">
      <w:footerReference w:type="default" r:id="rId7"/>
      <w:pgSz w:w="16838" w:h="11906" w:orient="landscape"/>
      <w:pgMar w:top="1417" w:right="1417" w:bottom="1417" w:left="1417" w:header="0" w:footer="708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5024E" w:rsidRDefault="00B5024E">
      <w:pPr>
        <w:spacing w:after="0" w:line="240" w:lineRule="auto"/>
      </w:pPr>
      <w:r>
        <w:separator/>
      </w:r>
    </w:p>
  </w:endnote>
  <w:endnote w:type="continuationSeparator" w:id="0">
    <w:p w:rsidR="00B5024E" w:rsidRDefault="00B502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F6F73" w:rsidRDefault="00956184">
    <w:pPr>
      <w:pStyle w:val="Stopka"/>
      <w:jc w:val="right"/>
    </w:pPr>
    <w:r>
      <w:t xml:space="preserve">Strona | </w:t>
    </w:r>
    <w:r>
      <w:fldChar w:fldCharType="begin"/>
    </w:r>
    <w:r>
      <w:instrText>PAGE</w:instrText>
    </w:r>
    <w:r>
      <w:fldChar w:fldCharType="separate"/>
    </w:r>
    <w:r w:rsidR="008C5E13">
      <w:rPr>
        <w:noProof/>
      </w:rPr>
      <w:t>20</w:t>
    </w:r>
    <w:r>
      <w:fldChar w:fldCharType="end"/>
    </w:r>
    <w:r>
      <w:t xml:space="preserve"> </w:t>
    </w:r>
  </w:p>
  <w:p w:rsidR="005F6F73" w:rsidRDefault="005F6F73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5024E" w:rsidRDefault="00B5024E">
      <w:pPr>
        <w:spacing w:after="0" w:line="240" w:lineRule="auto"/>
      </w:pPr>
      <w:r>
        <w:separator/>
      </w:r>
    </w:p>
  </w:footnote>
  <w:footnote w:type="continuationSeparator" w:id="0">
    <w:p w:rsidR="00B5024E" w:rsidRDefault="00B502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59431F"/>
    <w:multiLevelType w:val="multilevel"/>
    <w:tmpl w:val="7268959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97E7F4B"/>
    <w:multiLevelType w:val="multilevel"/>
    <w:tmpl w:val="4E34B59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35694525"/>
    <w:multiLevelType w:val="multilevel"/>
    <w:tmpl w:val="CD2C912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18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37560F19"/>
    <w:multiLevelType w:val="multilevel"/>
    <w:tmpl w:val="B63A636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4" w15:restartNumberingAfterBreak="0">
    <w:nsid w:val="5FDD618D"/>
    <w:multiLevelType w:val="multilevel"/>
    <w:tmpl w:val="45403A06"/>
    <w:lvl w:ilvl="0">
      <w:start w:val="1"/>
      <w:numFmt w:val="decimal"/>
      <w:lvlText w:val="%1."/>
      <w:lvlJc w:val="left"/>
      <w:pPr>
        <w:ind w:left="502" w:hanging="360"/>
      </w:pPr>
      <w:rPr>
        <w:rFonts w:ascii="Times New Roman" w:hAnsi="Times New Roman"/>
        <w:b/>
        <w:sz w:val="18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6F73"/>
    <w:rsid w:val="005F6F73"/>
    <w:rsid w:val="008C5E13"/>
    <w:rsid w:val="00956184"/>
    <w:rsid w:val="00B5024E"/>
    <w:rsid w:val="00CB2E40"/>
    <w:rsid w:val="00D718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9DDD3C4-D7B9-4E85-9555-E5799E7BA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0A42"/>
    <w:pPr>
      <w:spacing w:after="160" w:line="259" w:lineRule="auto"/>
    </w:pPr>
    <w:rPr>
      <w:rFonts w:cs="Times New Roman"/>
      <w:color w:val="00000A"/>
      <w:sz w:val="22"/>
    </w:rPr>
  </w:style>
  <w:style w:type="paragraph" w:styleId="Nagwek1">
    <w:name w:val="heading 1"/>
    <w:basedOn w:val="Normalny"/>
    <w:next w:val="Normalny"/>
    <w:link w:val="Nagwek1Znak"/>
    <w:qFormat/>
    <w:rsid w:val="00F80A42"/>
    <w:pPr>
      <w:keepNext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F80A42"/>
    <w:pPr>
      <w:keepNext/>
      <w:overflowPunct w:val="0"/>
      <w:spacing w:after="0" w:line="240" w:lineRule="auto"/>
      <w:outlineLvl w:val="2"/>
    </w:pPr>
    <w:rPr>
      <w:rFonts w:ascii="Times New Roman" w:eastAsia="Times New Roman" w:hAnsi="Times New Roman"/>
      <w:color w:val="339966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80A42"/>
    <w:rPr>
      <w:rFonts w:ascii="Times New Roman" w:eastAsia="Times New Roman" w:hAnsi="Times New Roman" w:cs="Times New Roman"/>
      <w:b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qFormat/>
    <w:rsid w:val="00F80A42"/>
    <w:rPr>
      <w:rFonts w:ascii="Times New Roman" w:eastAsia="Times New Roman" w:hAnsi="Times New Roman" w:cs="Times New Roman"/>
      <w:color w:val="339966"/>
      <w:sz w:val="24"/>
      <w:szCs w:val="20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F80A42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qFormat/>
    <w:rsid w:val="00F80A42"/>
    <w:rPr>
      <w:rFonts w:ascii="Calibri" w:eastAsia="Calibri" w:hAnsi="Calibri" w:cs="Times New Roma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F80A42"/>
    <w:rPr>
      <w:rFonts w:ascii="Segoe UI" w:eastAsia="Calibri" w:hAnsi="Segoe UI" w:cs="Segoe UI"/>
      <w:sz w:val="18"/>
      <w:szCs w:val="18"/>
    </w:rPr>
  </w:style>
  <w:style w:type="character" w:customStyle="1" w:styleId="TekstpodstawowyZnak">
    <w:name w:val="Tekst podstawowy Znak"/>
    <w:basedOn w:val="Domylnaczcionkaakapitu"/>
    <w:link w:val="Tekstpodstawowy"/>
    <w:semiHidden/>
    <w:qFormat/>
    <w:rsid w:val="00F80A42"/>
    <w:rPr>
      <w:rFonts w:ascii="Times New Roman" w:eastAsia="Lucida Sans Unicode" w:hAnsi="Times New Roman" w:cs="Tahoma"/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80A42"/>
    <w:rPr>
      <w:rFonts w:ascii="Calibri" w:eastAsia="Calibri" w:hAnsi="Calibri" w:cs="Times New Roman"/>
      <w:sz w:val="16"/>
      <w:szCs w:val="16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80A42"/>
    <w:rPr>
      <w:rFonts w:ascii="Calibri" w:eastAsia="Calibri" w:hAnsi="Calibri" w:cs="Times New Roman"/>
    </w:rPr>
  </w:style>
  <w:style w:type="character" w:customStyle="1" w:styleId="FontStyle13">
    <w:name w:val="Font Style13"/>
    <w:uiPriority w:val="99"/>
    <w:qFormat/>
    <w:rsid w:val="00251AC6"/>
    <w:rPr>
      <w:rFonts w:ascii="Arial" w:hAnsi="Arial"/>
      <w:color w:val="000000"/>
      <w:sz w:val="14"/>
    </w:rPr>
  </w:style>
  <w:style w:type="character" w:customStyle="1" w:styleId="FontStyle15">
    <w:name w:val="Font Style15"/>
    <w:uiPriority w:val="99"/>
    <w:qFormat/>
    <w:rsid w:val="00251AC6"/>
    <w:rPr>
      <w:rFonts w:ascii="Arial" w:hAnsi="Arial"/>
      <w:smallCaps/>
      <w:color w:val="000000"/>
      <w:sz w:val="16"/>
    </w:rPr>
  </w:style>
  <w:style w:type="character" w:customStyle="1" w:styleId="ListLabel1">
    <w:name w:val="ListLabel 1"/>
    <w:qFormat/>
    <w:rPr>
      <w:rFonts w:cs="Times New Roman"/>
      <w:color w:val="00000A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Times New Roman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Times New Roman"/>
    </w:rPr>
  </w:style>
  <w:style w:type="character" w:customStyle="1" w:styleId="ListLabel9">
    <w:name w:val="ListLabel 9"/>
    <w:qFormat/>
    <w:rPr>
      <w:rFonts w:cs="Times New Roman"/>
    </w:rPr>
  </w:style>
  <w:style w:type="character" w:customStyle="1" w:styleId="ListLabel10">
    <w:name w:val="ListLabel 10"/>
    <w:qFormat/>
    <w:rPr>
      <w:rFonts w:cs="Times New Roman"/>
      <w:b w:val="0"/>
      <w:i w:val="0"/>
      <w:color w:val="00000A"/>
      <w:sz w:val="20"/>
      <w:szCs w:val="20"/>
    </w:rPr>
  </w:style>
  <w:style w:type="character" w:customStyle="1" w:styleId="ListLabel11">
    <w:name w:val="ListLabel 11"/>
    <w:qFormat/>
    <w:rPr>
      <w:rFonts w:cs="Times New Roman"/>
    </w:rPr>
  </w:style>
  <w:style w:type="character" w:customStyle="1" w:styleId="ListLabel12">
    <w:name w:val="ListLabel 12"/>
    <w:qFormat/>
    <w:rPr>
      <w:rFonts w:cs="Times New Roman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Times New Roman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Times New Roman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Times New Roman"/>
    </w:rPr>
  </w:style>
  <w:style w:type="character" w:customStyle="1" w:styleId="ListLabel19">
    <w:name w:val="ListLabel 19"/>
    <w:qFormat/>
    <w:rPr>
      <w:rFonts w:ascii="Times New Roman" w:hAnsi="Times New Roman"/>
      <w:b/>
      <w:sz w:val="18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Courier New"/>
    </w:rPr>
  </w:style>
  <w:style w:type="character" w:customStyle="1" w:styleId="ListLabel22">
    <w:name w:val="ListLabel 22"/>
    <w:qFormat/>
    <w:rPr>
      <w:rFonts w:cs="Courier New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Courier New"/>
    </w:rPr>
  </w:style>
  <w:style w:type="character" w:customStyle="1" w:styleId="ListLabel25">
    <w:name w:val="ListLabel 25"/>
    <w:qFormat/>
    <w:rPr>
      <w:rFonts w:cs="Courier New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Courier New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ascii="Times New Roman" w:hAnsi="Times New Roman"/>
      <w:b/>
      <w:sz w:val="18"/>
    </w:rPr>
  </w:style>
  <w:style w:type="character" w:customStyle="1" w:styleId="ListLabel30">
    <w:name w:val="ListLabel 30"/>
    <w:qFormat/>
    <w:rPr>
      <w:rFonts w:ascii="Times New Roman" w:hAnsi="Times New Roman" w:cs="Symbol"/>
      <w:sz w:val="18"/>
    </w:rPr>
  </w:style>
  <w:style w:type="character" w:customStyle="1" w:styleId="ListLabel31">
    <w:name w:val="ListLabel 31"/>
    <w:qFormat/>
    <w:rPr>
      <w:rFonts w:cs="Courier New"/>
    </w:rPr>
  </w:style>
  <w:style w:type="character" w:customStyle="1" w:styleId="ListLabel32">
    <w:name w:val="ListLabel 32"/>
    <w:qFormat/>
    <w:rPr>
      <w:rFonts w:cs="Wingdings"/>
    </w:rPr>
  </w:style>
  <w:style w:type="character" w:customStyle="1" w:styleId="ListLabel33">
    <w:name w:val="ListLabel 33"/>
    <w:qFormat/>
    <w:rPr>
      <w:rFonts w:cs="Symbol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Wingdings"/>
    </w:rPr>
  </w:style>
  <w:style w:type="character" w:customStyle="1" w:styleId="ListLabel36">
    <w:name w:val="ListLabel 36"/>
    <w:qFormat/>
    <w:rPr>
      <w:rFonts w:cs="Symbol"/>
    </w:rPr>
  </w:style>
  <w:style w:type="character" w:customStyle="1" w:styleId="ListLabel37">
    <w:name w:val="ListLabel 37"/>
    <w:qFormat/>
    <w:rPr>
      <w:rFonts w:cs="Courier New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ascii="Times New Roman" w:hAnsi="Times New Roman" w:cs="Symbol"/>
      <w:sz w:val="18"/>
    </w:rPr>
  </w:style>
  <w:style w:type="character" w:customStyle="1" w:styleId="ListLabel40">
    <w:name w:val="ListLabel 40"/>
    <w:qFormat/>
    <w:rPr>
      <w:rFonts w:cs="Courier New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Courier New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Symbol"/>
    </w:rPr>
  </w:style>
  <w:style w:type="character" w:customStyle="1" w:styleId="ListLabel46">
    <w:name w:val="ListLabel 46"/>
    <w:qFormat/>
    <w:rPr>
      <w:rFonts w:cs="Courier New"/>
    </w:rPr>
  </w:style>
  <w:style w:type="character" w:customStyle="1" w:styleId="ListLabel47">
    <w:name w:val="ListLabel 47"/>
    <w:qFormat/>
    <w:rPr>
      <w:rFonts w:cs="Wingdings"/>
    </w:rPr>
  </w:style>
  <w:style w:type="character" w:customStyle="1" w:styleId="ListLabel48">
    <w:name w:val="ListLabel 48"/>
    <w:qFormat/>
    <w:rPr>
      <w:rFonts w:ascii="Times New Roman" w:hAnsi="Times New Roman" w:cs="Symbol"/>
      <w:sz w:val="18"/>
    </w:rPr>
  </w:style>
  <w:style w:type="character" w:customStyle="1" w:styleId="ListLabel49">
    <w:name w:val="ListLabel 49"/>
    <w:qFormat/>
    <w:rPr>
      <w:rFonts w:cs="Courier New"/>
    </w:rPr>
  </w:style>
  <w:style w:type="character" w:customStyle="1" w:styleId="ListLabel50">
    <w:name w:val="ListLabel 50"/>
    <w:qFormat/>
    <w:rPr>
      <w:rFonts w:cs="Wingdings"/>
    </w:rPr>
  </w:style>
  <w:style w:type="character" w:customStyle="1" w:styleId="ListLabel51">
    <w:name w:val="ListLabel 51"/>
    <w:qFormat/>
    <w:rPr>
      <w:rFonts w:cs="Symbol"/>
    </w:rPr>
  </w:style>
  <w:style w:type="character" w:customStyle="1" w:styleId="ListLabel52">
    <w:name w:val="ListLabel 52"/>
    <w:qFormat/>
    <w:rPr>
      <w:rFonts w:cs="Courier New"/>
    </w:rPr>
  </w:style>
  <w:style w:type="character" w:customStyle="1" w:styleId="ListLabel53">
    <w:name w:val="ListLabel 53"/>
    <w:qFormat/>
    <w:rPr>
      <w:rFonts w:cs="Wingdings"/>
    </w:rPr>
  </w:style>
  <w:style w:type="character" w:customStyle="1" w:styleId="ListLabel54">
    <w:name w:val="ListLabel 54"/>
    <w:qFormat/>
    <w:rPr>
      <w:rFonts w:cs="Symbol"/>
    </w:rPr>
  </w:style>
  <w:style w:type="character" w:customStyle="1" w:styleId="ListLabel55">
    <w:name w:val="ListLabel 55"/>
    <w:qFormat/>
    <w:rPr>
      <w:rFonts w:cs="Courier New"/>
    </w:rPr>
  </w:style>
  <w:style w:type="character" w:customStyle="1" w:styleId="ListLabel56">
    <w:name w:val="ListLabel 56"/>
    <w:qFormat/>
    <w:rPr>
      <w:rFonts w:cs="Wingdings"/>
    </w:rPr>
  </w:style>
  <w:style w:type="character" w:customStyle="1" w:styleId="ListLabel57">
    <w:name w:val="ListLabel 57"/>
    <w:qFormat/>
    <w:rPr>
      <w:rFonts w:ascii="Times New Roman" w:hAnsi="Times New Roman"/>
      <w:b/>
      <w:sz w:val="18"/>
    </w:rPr>
  </w:style>
  <w:style w:type="character" w:customStyle="1" w:styleId="ListLabel58">
    <w:name w:val="ListLabel 58"/>
    <w:qFormat/>
    <w:rPr>
      <w:rFonts w:ascii="Times New Roman" w:hAnsi="Times New Roman" w:cs="Symbol"/>
      <w:sz w:val="18"/>
    </w:rPr>
  </w:style>
  <w:style w:type="character" w:customStyle="1" w:styleId="ListLabel59">
    <w:name w:val="ListLabel 59"/>
    <w:qFormat/>
    <w:rPr>
      <w:rFonts w:cs="Courier New"/>
    </w:rPr>
  </w:style>
  <w:style w:type="character" w:customStyle="1" w:styleId="ListLabel60">
    <w:name w:val="ListLabel 60"/>
    <w:qFormat/>
    <w:rPr>
      <w:rFonts w:cs="Wingdings"/>
    </w:rPr>
  </w:style>
  <w:style w:type="character" w:customStyle="1" w:styleId="ListLabel61">
    <w:name w:val="ListLabel 61"/>
    <w:qFormat/>
    <w:rPr>
      <w:rFonts w:cs="Symbol"/>
    </w:rPr>
  </w:style>
  <w:style w:type="character" w:customStyle="1" w:styleId="ListLabel62">
    <w:name w:val="ListLabel 62"/>
    <w:qFormat/>
    <w:rPr>
      <w:rFonts w:cs="Courier New"/>
    </w:rPr>
  </w:style>
  <w:style w:type="character" w:customStyle="1" w:styleId="ListLabel63">
    <w:name w:val="ListLabel 63"/>
    <w:qFormat/>
    <w:rPr>
      <w:rFonts w:cs="Wingdings"/>
    </w:rPr>
  </w:style>
  <w:style w:type="character" w:customStyle="1" w:styleId="ListLabel64">
    <w:name w:val="ListLabel 64"/>
    <w:qFormat/>
    <w:rPr>
      <w:rFonts w:cs="Symbol"/>
    </w:rPr>
  </w:style>
  <w:style w:type="character" w:customStyle="1" w:styleId="ListLabel65">
    <w:name w:val="ListLabel 65"/>
    <w:qFormat/>
    <w:rPr>
      <w:rFonts w:cs="Courier New"/>
    </w:rPr>
  </w:style>
  <w:style w:type="character" w:customStyle="1" w:styleId="ListLabel66">
    <w:name w:val="ListLabel 66"/>
    <w:qFormat/>
    <w:rPr>
      <w:rFonts w:cs="Wingdings"/>
    </w:rPr>
  </w:style>
  <w:style w:type="character" w:customStyle="1" w:styleId="ListLabel67">
    <w:name w:val="ListLabel 67"/>
    <w:qFormat/>
    <w:rPr>
      <w:rFonts w:ascii="Times New Roman" w:hAnsi="Times New Roman" w:cs="Symbol"/>
      <w:sz w:val="18"/>
    </w:rPr>
  </w:style>
  <w:style w:type="character" w:customStyle="1" w:styleId="ListLabel68">
    <w:name w:val="ListLabel 68"/>
    <w:qFormat/>
    <w:rPr>
      <w:rFonts w:cs="Courier New"/>
    </w:rPr>
  </w:style>
  <w:style w:type="character" w:customStyle="1" w:styleId="ListLabel69">
    <w:name w:val="ListLabel 69"/>
    <w:qFormat/>
    <w:rPr>
      <w:rFonts w:cs="Wingdings"/>
    </w:rPr>
  </w:style>
  <w:style w:type="character" w:customStyle="1" w:styleId="ListLabel70">
    <w:name w:val="ListLabel 70"/>
    <w:qFormat/>
    <w:rPr>
      <w:rFonts w:cs="Symbol"/>
    </w:rPr>
  </w:style>
  <w:style w:type="character" w:customStyle="1" w:styleId="ListLabel71">
    <w:name w:val="ListLabel 71"/>
    <w:qFormat/>
    <w:rPr>
      <w:rFonts w:cs="Courier New"/>
    </w:rPr>
  </w:style>
  <w:style w:type="character" w:customStyle="1" w:styleId="ListLabel72">
    <w:name w:val="ListLabel 72"/>
    <w:qFormat/>
    <w:rPr>
      <w:rFonts w:cs="Wingdings"/>
    </w:rPr>
  </w:style>
  <w:style w:type="character" w:customStyle="1" w:styleId="ListLabel73">
    <w:name w:val="ListLabel 73"/>
    <w:qFormat/>
    <w:rPr>
      <w:rFonts w:cs="Symbol"/>
    </w:rPr>
  </w:style>
  <w:style w:type="character" w:customStyle="1" w:styleId="ListLabel74">
    <w:name w:val="ListLabel 74"/>
    <w:qFormat/>
    <w:rPr>
      <w:rFonts w:cs="Courier New"/>
    </w:rPr>
  </w:style>
  <w:style w:type="character" w:customStyle="1" w:styleId="ListLabel75">
    <w:name w:val="ListLabel 75"/>
    <w:qFormat/>
    <w:rPr>
      <w:rFonts w:cs="Wingdings"/>
    </w:rPr>
  </w:style>
  <w:style w:type="character" w:customStyle="1" w:styleId="ListLabel76">
    <w:name w:val="ListLabel 76"/>
    <w:qFormat/>
    <w:rPr>
      <w:rFonts w:ascii="Times New Roman" w:hAnsi="Times New Roman" w:cs="Symbol"/>
      <w:sz w:val="18"/>
    </w:rPr>
  </w:style>
  <w:style w:type="character" w:customStyle="1" w:styleId="ListLabel77">
    <w:name w:val="ListLabel 77"/>
    <w:qFormat/>
    <w:rPr>
      <w:rFonts w:cs="Courier New"/>
    </w:rPr>
  </w:style>
  <w:style w:type="character" w:customStyle="1" w:styleId="ListLabel78">
    <w:name w:val="ListLabel 78"/>
    <w:qFormat/>
    <w:rPr>
      <w:rFonts w:cs="Wingdings"/>
    </w:rPr>
  </w:style>
  <w:style w:type="character" w:customStyle="1" w:styleId="ListLabel79">
    <w:name w:val="ListLabel 79"/>
    <w:qFormat/>
    <w:rPr>
      <w:rFonts w:cs="Symbol"/>
    </w:rPr>
  </w:style>
  <w:style w:type="character" w:customStyle="1" w:styleId="ListLabel80">
    <w:name w:val="ListLabel 80"/>
    <w:qFormat/>
    <w:rPr>
      <w:rFonts w:cs="Courier New"/>
    </w:rPr>
  </w:style>
  <w:style w:type="character" w:customStyle="1" w:styleId="ListLabel81">
    <w:name w:val="ListLabel 81"/>
    <w:qFormat/>
    <w:rPr>
      <w:rFonts w:cs="Wingdings"/>
    </w:rPr>
  </w:style>
  <w:style w:type="character" w:customStyle="1" w:styleId="ListLabel82">
    <w:name w:val="ListLabel 82"/>
    <w:qFormat/>
    <w:rPr>
      <w:rFonts w:cs="Symbol"/>
    </w:rPr>
  </w:style>
  <w:style w:type="character" w:customStyle="1" w:styleId="ListLabel83">
    <w:name w:val="ListLabel 83"/>
    <w:qFormat/>
    <w:rPr>
      <w:rFonts w:cs="Courier New"/>
    </w:rPr>
  </w:style>
  <w:style w:type="character" w:customStyle="1" w:styleId="ListLabel84">
    <w:name w:val="ListLabel 84"/>
    <w:qFormat/>
    <w:rPr>
      <w:rFonts w:cs="Wingdings"/>
    </w:rPr>
  </w:style>
  <w:style w:type="character" w:customStyle="1" w:styleId="ListLabel85">
    <w:name w:val="ListLabel 85"/>
    <w:qFormat/>
    <w:rPr>
      <w:rFonts w:ascii="Times New Roman" w:hAnsi="Times New Roman"/>
      <w:b/>
      <w:sz w:val="18"/>
    </w:rPr>
  </w:style>
  <w:style w:type="character" w:customStyle="1" w:styleId="ListLabel86">
    <w:name w:val="ListLabel 86"/>
    <w:qFormat/>
    <w:rPr>
      <w:rFonts w:ascii="Times New Roman" w:hAnsi="Times New Roman" w:cs="Symbol"/>
      <w:sz w:val="18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ascii="Times New Roman" w:hAnsi="Times New Roman" w:cs="Symbol"/>
      <w:sz w:val="18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ascii="Times New Roman" w:hAnsi="Times New Roman" w:cs="Symbol"/>
      <w:sz w:val="18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F80A42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semiHidden/>
    <w:rsid w:val="00F80A42"/>
    <w:pPr>
      <w:widowControl w:val="0"/>
      <w:suppressAutoHyphens/>
      <w:spacing w:after="120" w:line="240" w:lineRule="auto"/>
    </w:pPr>
    <w:rPr>
      <w:rFonts w:ascii="Times New Roman" w:eastAsia="Lucida Sans Unicode" w:hAnsi="Times New Roman" w:cs="Tahoma"/>
      <w:sz w:val="24"/>
      <w:szCs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</w:style>
  <w:style w:type="paragraph" w:styleId="Stopka">
    <w:name w:val="footer"/>
    <w:basedOn w:val="Normalny"/>
    <w:link w:val="StopkaZnak"/>
    <w:unhideWhenUsed/>
    <w:rsid w:val="00F80A42"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uiPriority w:val="99"/>
    <w:qFormat/>
    <w:rsid w:val="00F80A4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F80A42"/>
    <w:pPr>
      <w:spacing w:after="0" w:line="240" w:lineRule="auto"/>
    </w:pPr>
    <w:rPr>
      <w:rFonts w:ascii="Segoe UI" w:hAnsi="Segoe UI" w:cs="Segoe UI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qFormat/>
    <w:rsid w:val="00F80A42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F80A42"/>
    <w:pPr>
      <w:spacing w:after="120"/>
      <w:ind w:left="283"/>
    </w:pPr>
  </w:style>
  <w:style w:type="paragraph" w:customStyle="1" w:styleId="AbsatzTableFormat">
    <w:name w:val="AbsatzTableFormat"/>
    <w:basedOn w:val="Normalny"/>
    <w:qFormat/>
    <w:rsid w:val="00F80A42"/>
    <w:pPr>
      <w:suppressAutoHyphens/>
      <w:spacing w:after="0" w:line="240" w:lineRule="auto"/>
    </w:pPr>
    <w:rPr>
      <w:rFonts w:ascii="Arial" w:eastAsia="Times New Roman" w:hAnsi="Arial" w:cs="Arial"/>
      <w:szCs w:val="20"/>
      <w:lang w:eastAsia="zh-CN"/>
    </w:rPr>
  </w:style>
  <w:style w:type="paragraph" w:customStyle="1" w:styleId="WW-Tekstpodstawowy3">
    <w:name w:val="WW-Tekst podstawowy 3"/>
    <w:basedOn w:val="Normalny"/>
    <w:qFormat/>
    <w:rsid w:val="00F80A42"/>
    <w:pPr>
      <w:suppressAutoHyphens/>
      <w:spacing w:after="0" w:line="240" w:lineRule="auto"/>
      <w:jc w:val="both"/>
    </w:pPr>
    <w:rPr>
      <w:rFonts w:ascii="Times New Roman" w:eastAsia="Times New Roman" w:hAnsi="Times New Roman"/>
      <w:szCs w:val="20"/>
      <w:lang w:eastAsia="pl-PL"/>
    </w:rPr>
  </w:style>
  <w:style w:type="paragraph" w:customStyle="1" w:styleId="Standard">
    <w:name w:val="Standard"/>
    <w:qFormat/>
    <w:rsid w:val="00F80A42"/>
    <w:pPr>
      <w:suppressAutoHyphens/>
      <w:textAlignment w:val="baseline"/>
    </w:pPr>
    <w:rPr>
      <w:rFonts w:ascii="Times New Roman" w:eastAsia="Times New Roman" w:hAnsi="Times New Roman" w:cs="Times New Roman"/>
      <w:color w:val="00000A"/>
      <w:szCs w:val="20"/>
      <w:lang w:eastAsia="zh-CN"/>
    </w:rPr>
  </w:style>
  <w:style w:type="paragraph" w:customStyle="1" w:styleId="Zawartotabeli">
    <w:name w:val="Zawartość tabeli"/>
    <w:basedOn w:val="Normalny"/>
    <w:qFormat/>
  </w:style>
  <w:style w:type="paragraph" w:customStyle="1" w:styleId="Nagwektabeli">
    <w:name w:val="Nagłówek tabeli"/>
    <w:basedOn w:val="Zawartotabeli"/>
    <w:qFormat/>
  </w:style>
  <w:style w:type="table" w:styleId="Tabela-Siatka">
    <w:name w:val="Table Grid"/>
    <w:basedOn w:val="Standardowy"/>
    <w:uiPriority w:val="39"/>
    <w:rsid w:val="00F80A42"/>
    <w:rPr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20</Pages>
  <Words>5257</Words>
  <Characters>31543</Characters>
  <Application>Microsoft Office Word</Application>
  <DocSecurity>0</DocSecurity>
  <Lines>262</Lines>
  <Paragraphs>73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4</cp:revision>
  <cp:lastPrinted>2016-11-09T12:38:00Z</cp:lastPrinted>
  <dcterms:created xsi:type="dcterms:W3CDTF">2017-11-08T14:15:00Z</dcterms:created>
  <dcterms:modified xsi:type="dcterms:W3CDTF">2017-11-09T08:04:00Z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