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17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proofErr w:type="spellStart"/>
            <w:r w:rsidRPr="00D34038">
              <w:rPr>
                <w:b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r w:rsidRPr="00D34038">
              <w:rPr>
                <w:b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r w:rsidRPr="00D34038">
              <w:rPr>
                <w:b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r w:rsidRPr="00D34038">
              <w:rPr>
                <w:b/>
                <w:lang w:eastAsia="en-US"/>
              </w:rPr>
              <w:t xml:space="preserve">Parametry </w:t>
            </w:r>
          </w:p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r w:rsidRPr="00D34038">
              <w:rPr>
                <w:b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b/>
                <w:lang w:eastAsia="en-US"/>
              </w:rPr>
            </w:pPr>
            <w:r w:rsidRPr="00D34038">
              <w:rPr>
                <w:b/>
                <w:lang w:eastAsia="en-US"/>
              </w:rPr>
              <w:t>Parametry oferowane</w:t>
            </w: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BA39BE">
            <w:pPr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Platforma elektrochirurgiczna z systemem zamykania naczyń </w:t>
            </w:r>
            <w:proofErr w:type="spellStart"/>
            <w:r>
              <w:rPr>
                <w:bCs/>
                <w:lang w:eastAsia="en-US"/>
              </w:rPr>
              <w:t>LigaSure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rPr>
                <w:lang w:eastAsia="en-US"/>
              </w:rPr>
            </w:pPr>
            <w:r w:rsidRPr="00D34038"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rPr>
                <w:lang w:eastAsia="en-US"/>
              </w:rPr>
            </w:pPr>
            <w:r w:rsidRPr="00D34038"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rPr>
                <w:lang w:eastAsia="en-US"/>
              </w:rPr>
            </w:pPr>
            <w:r w:rsidRPr="00D34038"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rPr>
                <w:lang w:eastAsia="en-US"/>
              </w:rPr>
            </w:pPr>
            <w:r w:rsidRPr="00D34038">
              <w:rPr>
                <w:lang w:eastAsia="en-US"/>
              </w:rPr>
              <w:t>Rok produkcji min.2017,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tabs>
                <w:tab w:val="center" w:pos="4536"/>
                <w:tab w:val="right" w:pos="9072"/>
              </w:tabs>
              <w:rPr>
                <w:lang w:eastAsia="en-US"/>
              </w:rPr>
            </w:pPr>
            <w:r w:rsidRPr="00D34038">
              <w:rPr>
                <w:bCs/>
              </w:rPr>
              <w:t>Zasilanie elektryczne z sieci 220 do 240 V AC, zakres częstotliwości sieci zasilającej (nominalnie): 47 Hz do 63Hz.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tabs>
                <w:tab w:val="center" w:pos="4536"/>
                <w:tab w:val="right" w:pos="9072"/>
              </w:tabs>
              <w:rPr>
                <w:bCs/>
              </w:rPr>
            </w:pPr>
            <w:r w:rsidRPr="00D34038">
              <w:rPr>
                <w:bCs/>
              </w:rPr>
              <w:t>Urządzenie spełniające normy ICE 60601-1, edycja 2.0, 3.1; IEC 60601-2-2, edycja 4.0,5.0; IEC 60601-1-2, edycja 2.1, 3.0, 4.0 oraz ICE 60601-1-8, edycja 2.1.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tabs>
                <w:tab w:val="center" w:pos="4536"/>
                <w:tab w:val="right" w:pos="9072"/>
              </w:tabs>
              <w:rPr>
                <w:bCs/>
              </w:rPr>
            </w:pPr>
            <w:r w:rsidRPr="00D34038">
              <w:rPr>
                <w:bCs/>
              </w:rPr>
              <w:t>Zabezpieczenie przed przeciążeniem aparatu oraz w przypadku przejścia z zasilania prądem zmiennym na zasilanie z awaryjnego źródła napięcia urządzenie pracuje normalnie, bez żadnych błędów ani awarii systemu (IEC 60601-1; IEC 60601-2-2 podpunkt 51.101 i ANSI/AAMI HF18)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tabs>
                <w:tab w:val="center" w:pos="4536"/>
                <w:tab w:val="right" w:pos="9072"/>
              </w:tabs>
              <w:rPr>
                <w:bCs/>
              </w:rPr>
            </w:pPr>
            <w:r w:rsidRPr="00D34038">
              <w:rPr>
                <w:bCs/>
              </w:rPr>
              <w:t>Aparat z zabezpieczeniem przed impulsem defibrylacji zgodnie z normą IEC60601-1; IEC 60601-2-2 i ANSI/AAMI HF18)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>
            <w:pPr>
              <w:tabs>
                <w:tab w:val="center" w:pos="4536"/>
                <w:tab w:val="right" w:pos="9072"/>
              </w:tabs>
              <w:rPr>
                <w:bCs/>
              </w:rPr>
            </w:pPr>
            <w:r w:rsidRPr="00D34038">
              <w:t>Automatyczny test urządzenia po uruchomieniu.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 w:rsidP="00DE615B">
            <w:pPr>
              <w:spacing w:before="60" w:after="60"/>
            </w:pPr>
            <w:r w:rsidRPr="00D34038">
              <w:t>7-calowy ekran dotykowy LCD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 w:rsidP="00DE615B">
            <w:pPr>
              <w:spacing w:before="60" w:after="60"/>
            </w:pPr>
            <w:r w:rsidRPr="00D34038">
              <w:t>Informacja o poprawnym podłączeniu elektrody biernej na wyświetlaczu urządzenia.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 w:rsidP="00DE615B">
            <w:pPr>
              <w:spacing w:before="60" w:after="60"/>
            </w:pPr>
            <w:r w:rsidRPr="00D34038">
              <w:t xml:space="preserve">System wykonujący 430 000 operacji logicznych na </w:t>
            </w:r>
            <w:proofErr w:type="spellStart"/>
            <w:r w:rsidRPr="00D34038">
              <w:t>sekunde</w:t>
            </w:r>
            <w:proofErr w:type="spellEnd"/>
            <w:r w:rsidRPr="00D34038">
              <w:t>, stale badając oporność koagulowanej tkanki.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 w:rsidP="00DE615B">
            <w:pPr>
              <w:spacing w:before="60" w:after="60"/>
            </w:pPr>
            <w:r w:rsidRPr="00D34038">
              <w:t xml:space="preserve">Koagulacja w systemie zamykania </w:t>
            </w:r>
            <w:proofErr w:type="spellStart"/>
            <w:r w:rsidRPr="00D34038">
              <w:t>naczyć</w:t>
            </w:r>
            <w:proofErr w:type="spellEnd"/>
            <w:r w:rsidRPr="00D34038">
              <w:t xml:space="preserve"> osiągana w czasie 1-4 sekund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DE615B" w:rsidP="00DE615B">
            <w:pPr>
              <w:spacing w:before="60" w:after="60"/>
            </w:pPr>
            <w:r w:rsidRPr="00D34038">
              <w:t>Urządzenie wyposażone w gniazda (minimum):</w:t>
            </w:r>
          </w:p>
          <w:p w:rsidR="00DE615B" w:rsidRPr="00D34038" w:rsidRDefault="00DE615B" w:rsidP="00DE615B">
            <w:pPr>
              <w:spacing w:before="60" w:after="60"/>
            </w:pPr>
            <w:r w:rsidRPr="00D34038">
              <w:t>panel przedni:</w:t>
            </w:r>
          </w:p>
          <w:p w:rsidR="00DE615B" w:rsidRPr="00D34038" w:rsidRDefault="00DE615B" w:rsidP="00DE615B">
            <w:pPr>
              <w:pStyle w:val="Akapitzlist"/>
              <w:numPr>
                <w:ilvl w:val="0"/>
                <w:numId w:val="3"/>
              </w:numPr>
              <w:spacing w:before="60" w:after="60"/>
            </w:pPr>
            <w:r w:rsidRPr="00D34038">
              <w:t xml:space="preserve">gniazdo uniwersalnego portu przełącznika nożnego (UFP), </w:t>
            </w:r>
            <w:proofErr w:type="spellStart"/>
            <w:r w:rsidRPr="00D34038">
              <w:t>Monopolar</w:t>
            </w:r>
            <w:proofErr w:type="spellEnd"/>
            <w:r w:rsidRPr="00D34038">
              <w:t xml:space="preserve"> 1</w:t>
            </w:r>
            <w:r w:rsidR="00F33994" w:rsidRPr="00D34038"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3"/>
              </w:numPr>
              <w:spacing w:before="60" w:after="60"/>
            </w:pPr>
            <w:r w:rsidRPr="00D34038">
              <w:t xml:space="preserve">gniazdo </w:t>
            </w:r>
            <w:r w:rsidR="00F33994" w:rsidRPr="00D34038">
              <w:t>narzędzi</w:t>
            </w:r>
            <w:r w:rsidRPr="00D34038">
              <w:t xml:space="preserve">a </w:t>
            </w:r>
            <w:proofErr w:type="spellStart"/>
            <w:r w:rsidRPr="00D34038">
              <w:lastRenderedPageBreak/>
              <w:t>Monopolar</w:t>
            </w:r>
            <w:proofErr w:type="spellEnd"/>
            <w:r w:rsidRPr="00D34038">
              <w:t xml:space="preserve"> 2</w:t>
            </w:r>
            <w:r w:rsidR="00F33994" w:rsidRPr="00D34038"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3"/>
              </w:numPr>
              <w:spacing w:before="60" w:after="60"/>
            </w:pPr>
            <w:r w:rsidRPr="00D34038">
              <w:t>gniazdo bipolarne</w:t>
            </w:r>
            <w:r w:rsidR="00F33994" w:rsidRPr="00D34038"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3"/>
              </w:numPr>
              <w:spacing w:before="60" w:after="60"/>
            </w:pPr>
            <w:r w:rsidRPr="00D34038">
              <w:t>gniazdo do systemu zamykania naczyń oraz resekcji bipolarnej</w:t>
            </w:r>
            <w:r w:rsidR="00F33994" w:rsidRPr="00D34038"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3"/>
              </w:numPr>
              <w:spacing w:before="60" w:after="60"/>
            </w:pPr>
            <w:r w:rsidRPr="00D34038">
              <w:t>gniazdo do podłączenia elektrody biernej</w:t>
            </w:r>
            <w:r w:rsidR="00F33994" w:rsidRPr="00D34038">
              <w:t>;</w:t>
            </w:r>
          </w:p>
          <w:p w:rsidR="00DE615B" w:rsidRPr="00D34038" w:rsidRDefault="00DE615B" w:rsidP="00F33994">
            <w:pPr>
              <w:spacing w:before="60" w:after="60"/>
            </w:pPr>
            <w:r w:rsidRPr="00D34038">
              <w:t>panel tylny: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 xml:space="preserve">gniazdo sterownika nożnego </w:t>
            </w:r>
            <w:proofErr w:type="spellStart"/>
            <w:r w:rsidRPr="00D34038">
              <w:rPr>
                <w:bCs/>
              </w:rPr>
              <w:t>Monopolarnego</w:t>
            </w:r>
            <w:proofErr w:type="spellEnd"/>
            <w:r w:rsidRPr="00D34038">
              <w:rPr>
                <w:bCs/>
              </w:rPr>
              <w:t xml:space="preserve"> 1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 xml:space="preserve">gniazdo sterownika nożnego </w:t>
            </w:r>
            <w:proofErr w:type="spellStart"/>
            <w:r w:rsidRPr="00D34038">
              <w:rPr>
                <w:bCs/>
              </w:rPr>
              <w:t>Monopolarnego</w:t>
            </w:r>
            <w:proofErr w:type="spellEnd"/>
            <w:r w:rsidRPr="00D34038">
              <w:rPr>
                <w:bCs/>
              </w:rPr>
              <w:t xml:space="preserve"> 2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>gniazdo sterownika nożnego bipolarnego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>gniazdo do sterownika nożnego do systemu zamykania naczyń/resekcji bipolarnej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>gniazdo Ethernet (serwisowe)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 xml:space="preserve">antena </w:t>
            </w:r>
            <w:proofErr w:type="spellStart"/>
            <w:r w:rsidRPr="00D34038">
              <w:rPr>
                <w:bCs/>
              </w:rPr>
              <w:t>WiFi</w:t>
            </w:r>
            <w:proofErr w:type="spellEnd"/>
            <w:r w:rsidRPr="00D34038">
              <w:rPr>
                <w:bCs/>
              </w:rPr>
              <w:t xml:space="preserve"> (serwisowe)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 xml:space="preserve">gniazdo sterowania </w:t>
            </w:r>
            <w:proofErr w:type="spellStart"/>
            <w:r w:rsidRPr="00D34038">
              <w:rPr>
                <w:bCs/>
              </w:rPr>
              <w:t>ewakuatorem</w:t>
            </w:r>
            <w:proofErr w:type="spellEnd"/>
            <w:r w:rsidRPr="00D34038">
              <w:rPr>
                <w:bCs/>
              </w:rPr>
              <w:t xml:space="preserve"> dymu oraz zapisu EKG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rPr>
                <w:bCs/>
              </w:rPr>
              <w:t>zacisk uziemienia ekwipotencjalnego</w:t>
            </w:r>
            <w:r w:rsidR="00F33994" w:rsidRPr="00D34038">
              <w:rPr>
                <w:bCs/>
              </w:rPr>
              <w:t>;</w:t>
            </w:r>
          </w:p>
          <w:p w:rsidR="00DE615B" w:rsidRPr="00D34038" w:rsidRDefault="00DE615B" w:rsidP="00F33994">
            <w:pPr>
              <w:pStyle w:val="Akapitzlist"/>
              <w:numPr>
                <w:ilvl w:val="0"/>
                <w:numId w:val="4"/>
              </w:numPr>
              <w:spacing w:before="60" w:after="60"/>
            </w:pPr>
            <w:r w:rsidRPr="00D34038">
              <w:t>gniazdo przewodu sieciowego</w:t>
            </w:r>
            <w:r w:rsidR="00F33994" w:rsidRPr="00D34038"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t xml:space="preserve">Tryby </w:t>
            </w:r>
            <w:proofErr w:type="spellStart"/>
            <w:r w:rsidRPr="00D34038">
              <w:t>monopolarne</w:t>
            </w:r>
            <w:proofErr w:type="spellEnd"/>
            <w:r w:rsidRPr="00D34038">
              <w:t xml:space="preserve">: 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r w:rsidRPr="00D34038">
              <w:t>cięcie czyste (</w:t>
            </w:r>
            <w:proofErr w:type="spellStart"/>
            <w:r w:rsidRPr="00D34038">
              <w:t>cut</w:t>
            </w:r>
            <w:proofErr w:type="spellEnd"/>
            <w:r w:rsidRPr="00D34038">
              <w:t>),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r w:rsidRPr="00D34038">
              <w:t xml:space="preserve">cięcie mieszane (blend), 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bookmarkStart w:id="0" w:name="OLE_LINK1"/>
            <w:bookmarkStart w:id="1" w:name="OLE_LINK2"/>
            <w:r w:rsidRPr="00D34038">
              <w:t xml:space="preserve">zaawansowany tryb </w:t>
            </w:r>
            <w:proofErr w:type="spellStart"/>
            <w:r w:rsidRPr="00D34038">
              <w:t>monopolarny</w:t>
            </w:r>
            <w:proofErr w:type="spellEnd"/>
            <w:r w:rsidRPr="00D34038">
              <w:t xml:space="preserve"> pozwalający uzyskać wyjątkową kombinacje hemostazy i rozcinania. Użytkownik może zwolnić cięcie aby uzyskać większą hemostazę (</w:t>
            </w:r>
            <w:r w:rsidRPr="00D34038">
              <w:rPr>
                <w:i/>
              </w:rPr>
              <w:t>koagulacje)</w:t>
            </w:r>
            <w:r w:rsidRPr="00D34038">
              <w:t xml:space="preserve"> i przyspieszyć aby uzyskać lepsze rozcinanie (</w:t>
            </w:r>
            <w:r w:rsidRPr="00D34038">
              <w:rPr>
                <w:i/>
              </w:rPr>
              <w:t>cięcie);</w:t>
            </w:r>
          </w:p>
          <w:bookmarkEnd w:id="0"/>
          <w:bookmarkEnd w:id="1"/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r w:rsidRPr="00D34038">
              <w:t>koagulacja wyżarzanie, bezkontaktowa (</w:t>
            </w:r>
            <w:proofErr w:type="spellStart"/>
            <w:r w:rsidRPr="00D34038">
              <w:t>fulgurate</w:t>
            </w:r>
            <w:proofErr w:type="spellEnd"/>
            <w:r w:rsidRPr="00D34038">
              <w:t>),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r w:rsidRPr="00D34038">
              <w:t>koagulacja rozpylanie (spray),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5"/>
              </w:numPr>
              <w:spacing w:before="60" w:after="60"/>
              <w:rPr>
                <w:bCs/>
              </w:rPr>
            </w:pPr>
            <w:r w:rsidRPr="00D34038">
              <w:t>koagulacja łagodna (soft), ciągła sinusoida o częstotliwości 434 Hz.</w:t>
            </w:r>
          </w:p>
          <w:p w:rsidR="00DE615B" w:rsidRPr="00D34038" w:rsidRDefault="00DE615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 w:rsidP="00F3399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 pkt</w:t>
            </w:r>
          </w:p>
          <w:p w:rsidR="00F33994" w:rsidRPr="00D34038" w:rsidRDefault="00F33994" w:rsidP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Nie – 0 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</w:pPr>
            <w:r w:rsidRPr="00D34038">
              <w:t xml:space="preserve">Tryby bipolarne: 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7"/>
              </w:numPr>
              <w:spacing w:before="60" w:after="60"/>
            </w:pPr>
            <w:r w:rsidRPr="00D34038">
              <w:t>Niski (moc max. 15W);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7"/>
              </w:numPr>
              <w:spacing w:before="60" w:after="60"/>
            </w:pPr>
            <w:r w:rsidRPr="00D34038">
              <w:t xml:space="preserve">standardowy  (moc max. </w:t>
            </w:r>
            <w:r w:rsidRPr="00D34038">
              <w:lastRenderedPageBreak/>
              <w:t>40W);</w:t>
            </w:r>
          </w:p>
          <w:p w:rsidR="00F33994" w:rsidRPr="00D34038" w:rsidRDefault="00F33994" w:rsidP="00F33994">
            <w:pPr>
              <w:pStyle w:val="Akapitzlist"/>
              <w:numPr>
                <w:ilvl w:val="0"/>
                <w:numId w:val="7"/>
              </w:numPr>
              <w:spacing w:before="60" w:after="60"/>
            </w:pPr>
            <w:r w:rsidRPr="00D34038">
              <w:t>makro (moc max. 95W).</w:t>
            </w:r>
          </w:p>
          <w:p w:rsidR="00DE615B" w:rsidRPr="00D34038" w:rsidRDefault="00DE615B">
            <w:pPr>
              <w:tabs>
                <w:tab w:val="center" w:pos="4536"/>
                <w:tab w:val="right" w:pos="9072"/>
              </w:tabs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t xml:space="preserve">Funkcja </w:t>
            </w:r>
            <w:proofErr w:type="spellStart"/>
            <w:r w:rsidRPr="00D34038">
              <w:t>autobipolar</w:t>
            </w:r>
            <w:proofErr w:type="spellEnd"/>
            <w:r w:rsidRPr="00D34038">
              <w:t xml:space="preserve"> – możliwość automatycznego rozpoczęcia i zakończenia pracy oraz samodzielnej regulacji przez personel medyczny czasu opóźnienia funkcji auto-start z dokładnością do co 0,5 sekundy w zakresie od 0 do 2,5 sekundy.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t>System zamykania naczyń  pozwalający zespalać tętnice, żyły i naczynia limfatyczne o średnicy do 7mm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 czasu.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 – 10 pkt</w:t>
            </w:r>
          </w:p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rPr>
                <w:bCs/>
              </w:rPr>
              <w:t>Tryb bipolarny m</w:t>
            </w:r>
            <w:r w:rsidRPr="00D34038">
              <w:t>oc max. 95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rPr>
                <w:bCs/>
              </w:rPr>
              <w:t xml:space="preserve">Cięcie </w:t>
            </w:r>
            <w:proofErr w:type="spellStart"/>
            <w:r w:rsidRPr="00D34038">
              <w:rPr>
                <w:bCs/>
              </w:rPr>
              <w:t>monopolarne</w:t>
            </w:r>
            <w:proofErr w:type="spellEnd"/>
            <w:r w:rsidRPr="00D34038">
              <w:rPr>
                <w:bCs/>
              </w:rPr>
              <w:t xml:space="preserve"> tryb czysty m</w:t>
            </w:r>
            <w:r w:rsidRPr="00D34038">
              <w:t>oc max. 300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rPr>
                <w:bCs/>
              </w:rPr>
              <w:t xml:space="preserve">Cięcie </w:t>
            </w:r>
            <w:proofErr w:type="spellStart"/>
            <w:r w:rsidRPr="00D34038">
              <w:rPr>
                <w:bCs/>
              </w:rPr>
              <w:t>monopolarne</w:t>
            </w:r>
            <w:proofErr w:type="spellEnd"/>
            <w:r w:rsidRPr="00D34038">
              <w:rPr>
                <w:bCs/>
              </w:rPr>
              <w:t xml:space="preserve"> tryb mieszany m</w:t>
            </w:r>
            <w:r w:rsidRPr="00D34038">
              <w:t>oc max. 200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DE615B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DE615B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15B" w:rsidRPr="00D34038" w:rsidRDefault="00F33994">
            <w:pPr>
              <w:tabs>
                <w:tab w:val="center" w:pos="4536"/>
                <w:tab w:val="right" w:pos="9072"/>
              </w:tabs>
            </w:pPr>
            <w:r w:rsidRPr="00D34038">
              <w:t xml:space="preserve">Zaawansowany tryb </w:t>
            </w:r>
            <w:proofErr w:type="spellStart"/>
            <w:r w:rsidRPr="00D34038">
              <w:t>monopolarny</w:t>
            </w:r>
            <w:proofErr w:type="spellEnd"/>
            <w:r w:rsidRPr="00D34038">
              <w:t xml:space="preserve"> pozwalający uzyskać wyjątkową kombinacje hemostazy i rozcinania. Użytkownik może zwolnić cięcie aby uzyskać większą hemostazę (koagulacje) i przyspieszyć aby uzyskać lepsze rozcinanie (cięcie) moc max. 200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15B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5B" w:rsidRPr="00D34038" w:rsidRDefault="00DE615B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</w:pPr>
            <w:r w:rsidRPr="00D34038">
              <w:rPr>
                <w:bCs/>
              </w:rPr>
              <w:t xml:space="preserve">Koagulacja </w:t>
            </w:r>
            <w:proofErr w:type="spellStart"/>
            <w:r w:rsidRPr="00D34038">
              <w:rPr>
                <w:bCs/>
              </w:rPr>
              <w:t>monopolarna</w:t>
            </w:r>
            <w:proofErr w:type="spellEnd"/>
            <w:r w:rsidRPr="00D34038">
              <w:rPr>
                <w:bCs/>
              </w:rPr>
              <w:t xml:space="preserve"> – wyżarzanie m</w:t>
            </w:r>
            <w:r w:rsidRPr="00D34038">
              <w:t>oc max. 120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</w:pPr>
            <w:r w:rsidRPr="00D34038">
              <w:rPr>
                <w:bCs/>
              </w:rPr>
              <w:t xml:space="preserve">Koagulacja </w:t>
            </w:r>
            <w:proofErr w:type="spellStart"/>
            <w:r w:rsidRPr="00D34038">
              <w:rPr>
                <w:bCs/>
              </w:rPr>
              <w:t>monopolarna</w:t>
            </w:r>
            <w:proofErr w:type="spellEnd"/>
            <w:r w:rsidRPr="00D34038">
              <w:rPr>
                <w:bCs/>
              </w:rPr>
              <w:t xml:space="preserve"> -  rozpylanie m</w:t>
            </w:r>
            <w:r w:rsidRPr="00D34038">
              <w:t>oc max. 120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</w:pPr>
            <w:r w:rsidRPr="00D34038">
              <w:rPr>
                <w:bCs/>
              </w:rPr>
              <w:t>System zamykania naczyń m</w:t>
            </w:r>
            <w:r w:rsidRPr="00D34038">
              <w:t>oc max. 350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Resekcja bipolarna moc max. Cięcie 375 W i Koagulacja 175 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 xml:space="preserve">Aktywacja trybu </w:t>
            </w:r>
            <w:proofErr w:type="spellStart"/>
            <w:r w:rsidRPr="00D34038">
              <w:rPr>
                <w:bCs/>
              </w:rPr>
              <w:t>monopolarnego</w:t>
            </w:r>
            <w:proofErr w:type="spellEnd"/>
            <w:r w:rsidRPr="00D34038">
              <w:rPr>
                <w:bCs/>
              </w:rPr>
              <w:t xml:space="preserve"> z włącznika nożnego i uchwytu elektrody czynnej.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Aktywacja koagulacji bipolarnej z włącznika nożnego i automatycznie.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Możliwość zapamiętania ostatnich nastawień.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Wizualna i akustyczna sygnalizacja nieprawidłowego działania urządzenia: komunikaty i opisy nieprawidłowości w języku polskim, kody serwisowe, pamięć kodów.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Zróżnicowany sygnał dźwiękowy dla trybów alarmowych.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 xml:space="preserve">Urządzenie wyposażone w system zabezpieczenia pacjenta przed poparzeniem w polu przylegania płytki biernej - automatyczny, </w:t>
            </w:r>
            <w:proofErr w:type="spellStart"/>
            <w:r w:rsidRPr="00D34038">
              <w:rPr>
                <w:bCs/>
              </w:rPr>
              <w:t>adaptywny</w:t>
            </w:r>
            <w:proofErr w:type="spellEnd"/>
            <w:r w:rsidRPr="00D34038">
              <w:rPr>
                <w:bCs/>
              </w:rPr>
              <w:t xml:space="preserve"> system bezpieczeństwa dla elektrody powrotnej w zakresie min 5-135 Oh</w:t>
            </w:r>
            <w:r w:rsidRPr="00D34038">
              <w:rPr>
                <w:bCs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 xml:space="preserve">W razie złej aplikacji elektrody powrotnej, aparat alarmuje o stanie zagrożenia – sygnałem dźwiękowym zgodnie z normą 60601-2-2 - 65 </w:t>
            </w:r>
            <w:proofErr w:type="spellStart"/>
            <w:r w:rsidRPr="00D34038">
              <w:rPr>
                <w:bCs/>
              </w:rPr>
              <w:t>dBA</w:t>
            </w:r>
            <w:proofErr w:type="spellEnd"/>
            <w:r w:rsidRPr="00D34038">
              <w:rPr>
                <w:bCs/>
              </w:rPr>
              <w:t xml:space="preserve"> (bez możliwości zewnętrznej regulacji) i wizualnie za pomocą wyświetlanych na ekranach komunikatach. W konsekwencji przerywana jest praca aparatu.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Wizualizacja nastawianej mocy.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C23407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Gniazda przyłączeniowe automatycznie rozpoznające podłączone narzędzie.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C23407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 xml:space="preserve">Możliwość ustawiania mocy zaawansowanego trybu </w:t>
            </w:r>
            <w:proofErr w:type="spellStart"/>
            <w:r w:rsidRPr="00D34038">
              <w:rPr>
                <w:bCs/>
              </w:rPr>
              <w:t>monopolarnego</w:t>
            </w:r>
            <w:proofErr w:type="spellEnd"/>
            <w:r w:rsidRPr="00D34038">
              <w:rPr>
                <w:bCs/>
              </w:rPr>
              <w:t xml:space="preserve"> ze sterylnego pola.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C23407">
            <w:pPr>
              <w:spacing w:before="60" w:after="60"/>
              <w:rPr>
                <w:bCs/>
              </w:rPr>
            </w:pPr>
            <w:proofErr w:type="spellStart"/>
            <w:r w:rsidRPr="00D34038">
              <w:rPr>
                <w:bCs/>
              </w:rPr>
              <w:t>Ewakuator</w:t>
            </w:r>
            <w:proofErr w:type="spellEnd"/>
            <w:r w:rsidRPr="00D34038">
              <w:rPr>
                <w:bCs/>
              </w:rPr>
              <w:t xml:space="preserve"> dymu elektrochirurgicznego, sześć poziomów siły ssania wraz z podstawowym oprzyrządowaniem (jednorazowy filtr do </w:t>
            </w:r>
            <w:proofErr w:type="spellStart"/>
            <w:r w:rsidRPr="00D34038">
              <w:rPr>
                <w:bCs/>
              </w:rPr>
              <w:t>ewakuatora</w:t>
            </w:r>
            <w:proofErr w:type="spellEnd"/>
            <w:r w:rsidRPr="00D34038">
              <w:rPr>
                <w:bCs/>
              </w:rPr>
              <w:t xml:space="preserve"> dymu </w:t>
            </w:r>
            <w:proofErr w:type="spellStart"/>
            <w:r w:rsidRPr="00D34038">
              <w:rPr>
                <w:bCs/>
              </w:rPr>
              <w:t>pokoagulacyjnego</w:t>
            </w:r>
            <w:proofErr w:type="spellEnd"/>
            <w:r w:rsidRPr="00D34038">
              <w:rPr>
                <w:bCs/>
              </w:rPr>
              <w:t xml:space="preserve">, kompatybilny z oferowanym </w:t>
            </w:r>
            <w:proofErr w:type="spellStart"/>
            <w:r w:rsidRPr="00D34038">
              <w:rPr>
                <w:bCs/>
              </w:rPr>
              <w:t>oddymiaczem</w:t>
            </w:r>
            <w:proofErr w:type="spellEnd"/>
            <w:r w:rsidRPr="00D34038">
              <w:rPr>
                <w:bCs/>
              </w:rPr>
              <w:t xml:space="preserve">, nakładka na uchwyt </w:t>
            </w:r>
            <w:proofErr w:type="spellStart"/>
            <w:r w:rsidRPr="00D34038">
              <w:rPr>
                <w:bCs/>
              </w:rPr>
              <w:t>monopolarny</w:t>
            </w:r>
            <w:proofErr w:type="spellEnd"/>
            <w:r w:rsidRPr="00D34038">
              <w:rPr>
                <w:bCs/>
              </w:rPr>
              <w:t xml:space="preserve"> do odciągania dymu, jednorazowa elektroda czynna z przełącznikiem przyciskowym wraz z zintegrowanym przewodem do ewakuacji dymu </w:t>
            </w:r>
            <w:proofErr w:type="spellStart"/>
            <w:r w:rsidRPr="00D34038">
              <w:rPr>
                <w:bCs/>
              </w:rPr>
              <w:t>pokoagulacyjnego</w:t>
            </w:r>
            <w:proofErr w:type="spellEnd"/>
            <w:r w:rsidRPr="00D34038">
              <w:rPr>
                <w:bCs/>
              </w:rPr>
              <w:t xml:space="preserve">, dostarczona wraz z elektrodą </w:t>
            </w:r>
            <w:r w:rsidRPr="00D34038">
              <w:rPr>
                <w:bCs/>
              </w:rPr>
              <w:lastRenderedPageBreak/>
              <w:t>nożową, przewód o dł. 3 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Default="00F33994">
            <w:pPr>
              <w:jc w:val="center"/>
              <w:rPr>
                <w:lang w:eastAsia="en-US"/>
              </w:rPr>
            </w:pPr>
            <w:r w:rsidRPr="00D34038">
              <w:rPr>
                <w:lang w:eastAsia="en-US"/>
              </w:rPr>
              <w:t>Tak – 10 pkt</w:t>
            </w:r>
          </w:p>
          <w:p w:rsidR="009B0F0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Nie – 0 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Możliwość bezpłatnej aktualizacji oprogramowania w urządzeniu przez użytkownika (update)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Komunikaty w języku polskim.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  <w:tr w:rsidR="00F33994" w:rsidRPr="00D34038" w:rsidTr="00DE615B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994" w:rsidRPr="00D34038" w:rsidRDefault="00F33994" w:rsidP="00F33994">
            <w:pPr>
              <w:spacing w:before="60" w:after="60"/>
              <w:rPr>
                <w:bCs/>
              </w:rPr>
            </w:pPr>
            <w:r w:rsidRPr="00D34038">
              <w:rPr>
                <w:bCs/>
              </w:rPr>
              <w:t>Skuteczność systemu zamykania naczyń potwierdzona badaniami.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994" w:rsidRPr="00D34038" w:rsidRDefault="009B0F0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94" w:rsidRPr="00D34038" w:rsidRDefault="00F33994">
            <w:pPr>
              <w:rPr>
                <w:lang w:eastAsia="en-US"/>
              </w:rPr>
            </w:pPr>
          </w:p>
        </w:tc>
      </w:tr>
    </w:tbl>
    <w:p w:rsidR="00F05231" w:rsidRPr="00D34038" w:rsidRDefault="00F05231">
      <w:pPr>
        <w:rPr>
          <w:sz w:val="22"/>
          <w:szCs w:val="22"/>
        </w:rPr>
      </w:pPr>
    </w:p>
    <w:p w:rsidR="00F33994" w:rsidRPr="00D34038" w:rsidRDefault="00F33994">
      <w:pPr>
        <w:rPr>
          <w:sz w:val="22"/>
          <w:szCs w:val="22"/>
        </w:rPr>
      </w:pPr>
    </w:p>
    <w:p w:rsidR="001532C1" w:rsidRPr="009A6B28" w:rsidRDefault="001532C1" w:rsidP="001532C1">
      <w:pPr>
        <w:rPr>
          <w:rFonts w:ascii="Arial" w:hAnsi="Arial"/>
          <w:sz w:val="18"/>
          <w:szCs w:val="18"/>
        </w:rPr>
      </w:pPr>
      <w:r w:rsidRPr="009A6B28">
        <w:rPr>
          <w:rFonts w:ascii="Arial" w:hAnsi="Arial"/>
          <w:sz w:val="18"/>
          <w:szCs w:val="18"/>
        </w:rPr>
        <w:t xml:space="preserve">Dla umożliwienia Zamawiającemu weryfikacji udzielonych odpowiedzi odnośnie spełnienia warunków granicznych i/lub ich wartości należy dołączyć do oferty materiały opisowe pochodzące od producenta: oryginalne ulotki, katalogi, opisy przedmiotu zamówienia, dokumentację techniczną oferowanego sprzętu/ przedmiotu zamówienia, </w:t>
      </w:r>
      <w:proofErr w:type="spellStart"/>
      <w:r w:rsidRPr="009A6B28">
        <w:rPr>
          <w:rFonts w:ascii="Arial" w:hAnsi="Arial"/>
          <w:sz w:val="18"/>
          <w:szCs w:val="18"/>
        </w:rPr>
        <w:t>product</w:t>
      </w:r>
      <w:proofErr w:type="spellEnd"/>
      <w:r w:rsidRPr="009A6B28">
        <w:rPr>
          <w:rFonts w:ascii="Arial" w:hAnsi="Arial"/>
          <w:sz w:val="18"/>
          <w:szCs w:val="18"/>
        </w:rPr>
        <w:t xml:space="preserve"> </w:t>
      </w:r>
      <w:proofErr w:type="spellStart"/>
      <w:r w:rsidRPr="009A6B28">
        <w:rPr>
          <w:rFonts w:ascii="Arial" w:hAnsi="Arial"/>
          <w:sz w:val="18"/>
          <w:szCs w:val="18"/>
        </w:rPr>
        <w:t>date</w:t>
      </w:r>
      <w:proofErr w:type="spellEnd"/>
      <w:r w:rsidRPr="009A6B28">
        <w:rPr>
          <w:rFonts w:ascii="Arial" w:hAnsi="Arial"/>
          <w:sz w:val="18"/>
          <w:szCs w:val="18"/>
        </w:rPr>
        <w:t>, instrukcje obsługi itp. Stosowne materiały opisowe pochodzące od producenta należy załączyć w oryginale lub jako kserokopie poświadczone za zgodność z oryginałem.</w:t>
      </w:r>
    </w:p>
    <w:p w:rsidR="001532C1" w:rsidRPr="009A6B28" w:rsidRDefault="001532C1" w:rsidP="001532C1">
      <w:pPr>
        <w:rPr>
          <w:rFonts w:ascii="Arial" w:hAnsi="Arial"/>
          <w:sz w:val="18"/>
          <w:szCs w:val="18"/>
        </w:rPr>
      </w:pPr>
      <w:r w:rsidRPr="009A6B28">
        <w:rPr>
          <w:rFonts w:ascii="Arial" w:hAnsi="Arial"/>
          <w:sz w:val="18"/>
          <w:szCs w:val="18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1532C1" w:rsidRDefault="001532C1" w:rsidP="001532C1">
      <w:pPr>
        <w:shd w:val="clear" w:color="auto" w:fill="FFFFFF"/>
        <w:jc w:val="both"/>
        <w:rPr>
          <w:rFonts w:ascii="Arial" w:hAnsi="Arial"/>
          <w:b/>
          <w:bCs/>
          <w:color w:val="000000"/>
          <w:spacing w:val="-5"/>
          <w:sz w:val="20"/>
        </w:rPr>
      </w:pPr>
    </w:p>
    <w:p w:rsidR="001532C1" w:rsidRDefault="001532C1" w:rsidP="001532C1">
      <w:pPr>
        <w:shd w:val="clear" w:color="auto" w:fill="FFFFFF"/>
        <w:jc w:val="both"/>
        <w:rPr>
          <w:rFonts w:ascii="Arial" w:hAnsi="Arial"/>
          <w:b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>…………………………….</w:t>
      </w:r>
    </w:p>
    <w:p w:rsidR="001532C1" w:rsidRPr="009A6B28" w:rsidRDefault="001532C1" w:rsidP="001532C1">
      <w:pPr>
        <w:shd w:val="clear" w:color="auto" w:fill="FFFFFF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  <w:r w:rsidRPr="009A6B28">
        <w:rPr>
          <w:rFonts w:ascii="Arial" w:hAnsi="Arial"/>
          <w:bCs/>
          <w:color w:val="000000"/>
          <w:spacing w:val="-5"/>
          <w:sz w:val="20"/>
        </w:rPr>
        <w:t xml:space="preserve">Miejscowość, data </w:t>
      </w:r>
    </w:p>
    <w:p w:rsidR="001532C1" w:rsidRPr="009A6B28" w:rsidRDefault="001532C1" w:rsidP="001532C1">
      <w:pPr>
        <w:shd w:val="clear" w:color="auto" w:fill="FFFFFF"/>
        <w:spacing w:before="245" w:line="264" w:lineRule="exact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</w:p>
    <w:p w:rsidR="001532C1" w:rsidRDefault="001532C1" w:rsidP="001532C1">
      <w:pPr>
        <w:shd w:val="clear" w:color="auto" w:fill="FFFFFF"/>
        <w:spacing w:before="245" w:line="264" w:lineRule="exact"/>
        <w:ind w:left="115"/>
        <w:jc w:val="both"/>
        <w:rPr>
          <w:rFonts w:ascii="Arial" w:hAnsi="Arial"/>
          <w:b/>
          <w:bCs/>
          <w:color w:val="000000"/>
          <w:spacing w:val="-5"/>
          <w:sz w:val="20"/>
        </w:rPr>
      </w:pPr>
    </w:p>
    <w:p w:rsidR="001532C1" w:rsidRDefault="001532C1" w:rsidP="001532C1">
      <w:pPr>
        <w:shd w:val="clear" w:color="auto" w:fill="FFFFFF"/>
        <w:spacing w:line="264" w:lineRule="exact"/>
        <w:ind w:left="115"/>
        <w:jc w:val="both"/>
        <w:rPr>
          <w:rFonts w:ascii="Arial" w:hAnsi="Arial"/>
          <w:b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 xml:space="preserve">                                                                                                    ………………………………………….</w:t>
      </w:r>
    </w:p>
    <w:p w:rsidR="001532C1" w:rsidRPr="009A6B28" w:rsidRDefault="001532C1" w:rsidP="001532C1">
      <w:pPr>
        <w:shd w:val="clear" w:color="auto" w:fill="FFFFFF"/>
        <w:spacing w:line="264" w:lineRule="exact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 w:rsidRPr="009A6B28">
        <w:rPr>
          <w:rFonts w:ascii="Arial" w:hAnsi="Arial"/>
          <w:bCs/>
          <w:color w:val="000000"/>
          <w:spacing w:val="-5"/>
          <w:sz w:val="20"/>
        </w:rPr>
        <w:t xml:space="preserve">                 </w:t>
      </w:r>
      <w:r>
        <w:rPr>
          <w:rFonts w:ascii="Arial" w:hAnsi="Arial"/>
          <w:bCs/>
          <w:color w:val="000000"/>
          <w:spacing w:val="-5"/>
          <w:sz w:val="20"/>
        </w:rPr>
        <w:t xml:space="preserve">       Podpis osoby upoważnionej</w:t>
      </w:r>
    </w:p>
    <w:p w:rsidR="00DE615B" w:rsidRPr="00D34038" w:rsidRDefault="00DE615B">
      <w:pPr>
        <w:rPr>
          <w:sz w:val="22"/>
          <w:szCs w:val="22"/>
        </w:rPr>
      </w:pPr>
      <w:bookmarkStart w:id="2" w:name="_GoBack"/>
      <w:bookmarkEnd w:id="2"/>
    </w:p>
    <w:sectPr w:rsidR="00DE615B" w:rsidRPr="00D34038" w:rsidSect="00F0523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4AB" w:rsidRDefault="002024AB" w:rsidP="00FD5280">
      <w:r>
        <w:separator/>
      </w:r>
    </w:p>
  </w:endnote>
  <w:endnote w:type="continuationSeparator" w:id="0">
    <w:p w:rsidR="002024AB" w:rsidRDefault="002024AB" w:rsidP="00FD5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4AB" w:rsidRDefault="002024AB" w:rsidP="00FD5280">
      <w:r>
        <w:separator/>
      </w:r>
    </w:p>
  </w:footnote>
  <w:footnote w:type="continuationSeparator" w:id="0">
    <w:p w:rsidR="002024AB" w:rsidRDefault="002024AB" w:rsidP="00FD52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5280" w:rsidRDefault="00FD5280">
    <w:pPr>
      <w:pStyle w:val="Nagwek"/>
    </w:pPr>
    <w:r>
      <w:t>Pakiet nr 2                                                                                      załącznik nr 2a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A0190"/>
    <w:multiLevelType w:val="hybridMultilevel"/>
    <w:tmpl w:val="2EEC73C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67387"/>
    <w:multiLevelType w:val="hybridMultilevel"/>
    <w:tmpl w:val="3168DD92"/>
    <w:lvl w:ilvl="0" w:tplc="CDB6344A">
      <w:start w:val="1"/>
      <w:numFmt w:val="upp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09156D9"/>
    <w:multiLevelType w:val="hybridMultilevel"/>
    <w:tmpl w:val="122EF204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6A132AE"/>
    <w:multiLevelType w:val="hybridMultilevel"/>
    <w:tmpl w:val="DC52E058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4A2C67"/>
    <w:multiLevelType w:val="hybridMultilevel"/>
    <w:tmpl w:val="4B8CB4B0"/>
    <w:lvl w:ilvl="0" w:tplc="D7EE7DB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15B"/>
    <w:rsid w:val="001532C1"/>
    <w:rsid w:val="002024AB"/>
    <w:rsid w:val="004C3F04"/>
    <w:rsid w:val="009B0F04"/>
    <w:rsid w:val="00B94C73"/>
    <w:rsid w:val="00BA39BE"/>
    <w:rsid w:val="00C23407"/>
    <w:rsid w:val="00D34038"/>
    <w:rsid w:val="00DE509F"/>
    <w:rsid w:val="00DE615B"/>
    <w:rsid w:val="00F05231"/>
    <w:rsid w:val="00F33994"/>
    <w:rsid w:val="00F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D0FF0-3D91-4011-A487-B700DEF82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6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E6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E615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52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52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52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528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1060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2017-08-02T08:09:00Z</dcterms:created>
  <dcterms:modified xsi:type="dcterms:W3CDTF">2017-11-02T08:48:00Z</dcterms:modified>
</cp:coreProperties>
</file>