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960" w:rsidRDefault="00B57960">
      <w:r>
        <w:t xml:space="preserve">                                                                                                                              Załącznik nr 2</w:t>
      </w:r>
    </w:p>
    <w:p w:rsidR="00B57960" w:rsidRDefault="00B57960">
      <w:r>
        <w:t xml:space="preserve">Pakiet 3 - Tor Wizyjny </w:t>
      </w:r>
    </w:p>
    <w:tbl>
      <w:tblPr>
        <w:tblpPr w:leftFromText="141" w:rightFromText="141" w:horzAnchor="margin" w:tblpXSpec="center" w:tblpY="630"/>
        <w:tblW w:w="5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6"/>
        <w:gridCol w:w="6945"/>
        <w:gridCol w:w="1294"/>
        <w:gridCol w:w="2173"/>
      </w:tblGrid>
      <w:tr w:rsidR="009574B6" w:rsidRPr="0024243A" w:rsidTr="009574B6">
        <w:trPr>
          <w:cantSplit/>
          <w:trHeight w:val="777"/>
        </w:trPr>
        <w:tc>
          <w:tcPr>
            <w:tcW w:w="5000" w:type="pct"/>
            <w:gridSpan w:val="4"/>
            <w:shd w:val="clear" w:color="auto" w:fill="auto"/>
            <w:vAlign w:val="center"/>
          </w:tcPr>
          <w:tbl>
            <w:tblPr>
              <w:tblW w:w="10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63"/>
              <w:gridCol w:w="1490"/>
              <w:gridCol w:w="4874"/>
            </w:tblGrid>
            <w:tr w:rsidR="009574B6" w:rsidRPr="00B644F6" w:rsidTr="009574B6">
              <w:tc>
                <w:tcPr>
                  <w:tcW w:w="2006" w:type="pct"/>
                  <w:shd w:val="clear" w:color="auto" w:fill="auto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Nazwa, typ, model</w:t>
                  </w:r>
                </w:p>
              </w:tc>
              <w:tc>
                <w:tcPr>
                  <w:tcW w:w="701" w:type="pct"/>
                  <w:shd w:val="clear" w:color="auto" w:fill="auto"/>
                  <w:vAlign w:val="center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jc w:val="center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podać</w:t>
                  </w:r>
                </w:p>
              </w:tc>
              <w:tc>
                <w:tcPr>
                  <w:tcW w:w="2294" w:type="pct"/>
                  <w:shd w:val="clear" w:color="auto" w:fill="auto"/>
                  <w:vAlign w:val="center"/>
                </w:tcPr>
                <w:p w:rsidR="009574B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  <w:bookmarkStart w:id="0" w:name="_GoBack"/>
                  <w:bookmarkEnd w:id="0"/>
                </w:p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</w:p>
              </w:tc>
            </w:tr>
            <w:tr w:rsidR="009574B6" w:rsidRPr="00B644F6" w:rsidTr="009574B6">
              <w:tc>
                <w:tcPr>
                  <w:tcW w:w="2006" w:type="pct"/>
                  <w:shd w:val="clear" w:color="auto" w:fill="auto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Producent</w:t>
                  </w:r>
                </w:p>
              </w:tc>
              <w:tc>
                <w:tcPr>
                  <w:tcW w:w="701" w:type="pct"/>
                  <w:shd w:val="clear" w:color="auto" w:fill="auto"/>
                  <w:vAlign w:val="center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jc w:val="center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podać</w:t>
                  </w:r>
                </w:p>
              </w:tc>
              <w:tc>
                <w:tcPr>
                  <w:tcW w:w="2294" w:type="pct"/>
                  <w:shd w:val="clear" w:color="auto" w:fill="auto"/>
                  <w:vAlign w:val="center"/>
                </w:tcPr>
                <w:p w:rsidR="009574B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</w:p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</w:p>
              </w:tc>
            </w:tr>
            <w:tr w:rsidR="009574B6" w:rsidRPr="00B644F6" w:rsidTr="009574B6">
              <w:tc>
                <w:tcPr>
                  <w:tcW w:w="2006" w:type="pct"/>
                  <w:shd w:val="clear" w:color="auto" w:fill="auto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Nr katalogowy</w:t>
                  </w:r>
                </w:p>
              </w:tc>
              <w:tc>
                <w:tcPr>
                  <w:tcW w:w="701" w:type="pct"/>
                  <w:shd w:val="clear" w:color="auto" w:fill="auto"/>
                  <w:vAlign w:val="center"/>
                </w:tcPr>
                <w:p w:rsidR="009574B6" w:rsidRPr="00B644F6" w:rsidRDefault="009574B6" w:rsidP="009574B6">
                  <w:pPr>
                    <w:framePr w:hSpace="141" w:wrap="around" w:hAnchor="margin" w:xAlign="center" w:y="630"/>
                    <w:jc w:val="center"/>
                    <w:rPr>
                      <w:rFonts w:eastAsia="Calibri"/>
                    </w:rPr>
                  </w:pPr>
                  <w:r w:rsidRPr="00B644F6">
                    <w:rPr>
                      <w:rFonts w:eastAsia="Calibri"/>
                    </w:rPr>
                    <w:t>podać</w:t>
                  </w:r>
                </w:p>
              </w:tc>
              <w:tc>
                <w:tcPr>
                  <w:tcW w:w="2294" w:type="pct"/>
                  <w:shd w:val="clear" w:color="auto" w:fill="auto"/>
                  <w:vAlign w:val="center"/>
                </w:tcPr>
                <w:p w:rsidR="009574B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</w:p>
                <w:p w:rsidR="009574B6" w:rsidRPr="00B644F6" w:rsidRDefault="009574B6" w:rsidP="009574B6">
                  <w:pPr>
                    <w:framePr w:hSpace="141" w:wrap="around" w:hAnchor="margin" w:xAlign="center" w:y="630"/>
                    <w:rPr>
                      <w:rFonts w:eastAsia="Calibri"/>
                    </w:rPr>
                  </w:pPr>
                </w:p>
              </w:tc>
            </w:tr>
          </w:tbl>
          <w:p w:rsidR="009574B6" w:rsidRPr="00F86F1A" w:rsidRDefault="009574B6" w:rsidP="0031781D">
            <w:pPr>
              <w:jc w:val="center"/>
              <w:rPr>
                <w:rFonts w:ascii="Century Gothic" w:hAnsi="Century Gothic" w:cs="Tahoma"/>
                <w:b/>
                <w:sz w:val="18"/>
                <w:szCs w:val="18"/>
              </w:rPr>
            </w:pPr>
          </w:p>
        </w:tc>
      </w:tr>
      <w:tr w:rsidR="00EA6F70" w:rsidRPr="0024243A" w:rsidTr="009574B6">
        <w:trPr>
          <w:cantSplit/>
          <w:trHeight w:val="777"/>
        </w:trPr>
        <w:tc>
          <w:tcPr>
            <w:tcW w:w="170" w:type="pct"/>
            <w:shd w:val="clear" w:color="auto" w:fill="auto"/>
            <w:vAlign w:val="center"/>
          </w:tcPr>
          <w:p w:rsidR="00EA6F70" w:rsidRPr="0024243A" w:rsidRDefault="00EA6F70" w:rsidP="00EA6F70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24243A">
              <w:rPr>
                <w:rFonts w:ascii="Century Gothic" w:hAnsi="Century Gothic" w:cs="Tahoma"/>
                <w:b/>
                <w:sz w:val="16"/>
                <w:szCs w:val="16"/>
              </w:rPr>
              <w:t>Lp.</w:t>
            </w:r>
          </w:p>
        </w:tc>
        <w:tc>
          <w:tcPr>
            <w:tcW w:w="3222" w:type="pct"/>
            <w:shd w:val="clear" w:color="auto" w:fill="FFFFFF"/>
            <w:vAlign w:val="center"/>
          </w:tcPr>
          <w:p w:rsidR="00EA6F70" w:rsidRPr="0024243A" w:rsidRDefault="00EA6F70" w:rsidP="00EA6F70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24243A">
              <w:rPr>
                <w:rFonts w:ascii="Century Gothic" w:hAnsi="Century Gothic" w:cs="Tahoma"/>
                <w:b/>
                <w:sz w:val="18"/>
                <w:szCs w:val="18"/>
              </w:rPr>
              <w:t>Parametry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EA6F70" w:rsidRPr="0024243A" w:rsidRDefault="00EA6F70" w:rsidP="00EA6F70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F86F1A">
              <w:rPr>
                <w:rFonts w:ascii="Century Gothic" w:hAnsi="Century Gothic" w:cs="Tahoma"/>
                <w:b/>
                <w:sz w:val="18"/>
                <w:szCs w:val="18"/>
              </w:rPr>
              <w:t>Wartość graniczna parametru /parametr podlegający ocenie</w:t>
            </w:r>
          </w:p>
        </w:tc>
        <w:tc>
          <w:tcPr>
            <w:tcW w:w="1008" w:type="pct"/>
            <w:shd w:val="clear" w:color="auto" w:fill="FFFFFF"/>
            <w:vAlign w:val="center"/>
          </w:tcPr>
          <w:p w:rsidR="00EA6F70" w:rsidRDefault="00EA6F70" w:rsidP="0031781D">
            <w:pPr>
              <w:jc w:val="center"/>
              <w:rPr>
                <w:rFonts w:ascii="Century Gothic" w:hAnsi="Century Gothic" w:cs="Tahoma"/>
                <w:b/>
                <w:bCs/>
                <w:sz w:val="18"/>
                <w:szCs w:val="18"/>
              </w:rPr>
            </w:pPr>
            <w:r w:rsidRPr="00F86F1A">
              <w:rPr>
                <w:rFonts w:ascii="Century Gothic" w:hAnsi="Century Gothic" w:cs="Tahoma"/>
                <w:b/>
                <w:sz w:val="18"/>
                <w:szCs w:val="18"/>
              </w:rPr>
              <w:t>PARAMETRY OFEROWANE:</w:t>
            </w:r>
            <w:r w:rsidR="000B7679">
              <w:rPr>
                <w:rFonts w:ascii="Century Gothic" w:hAnsi="Century Gothic" w:cs="Tahoma"/>
                <w:b/>
                <w:sz w:val="18"/>
                <w:szCs w:val="18"/>
              </w:rPr>
              <w:t xml:space="preserve"> Potwierdzenie Wykonawcy TAK</w:t>
            </w:r>
            <w:r w:rsidR="00B20FE2">
              <w:rPr>
                <w:rFonts w:ascii="Century Gothic" w:hAnsi="Century Gothic" w:cs="Tahoma"/>
                <w:b/>
                <w:sz w:val="18"/>
                <w:szCs w:val="18"/>
              </w:rPr>
              <w:t xml:space="preserve"> spełnia</w:t>
            </w:r>
            <w:r w:rsidR="000B7679">
              <w:rPr>
                <w:rFonts w:ascii="Century Gothic" w:hAnsi="Century Gothic" w:cs="Tahoma"/>
                <w:b/>
                <w:sz w:val="18"/>
                <w:szCs w:val="18"/>
              </w:rPr>
              <w:t xml:space="preserve"> / opisać parametry</w:t>
            </w:r>
            <w:r w:rsidR="000B7679">
              <w:rPr>
                <w:rFonts w:ascii="Century Gothic" w:hAnsi="Century Gothic" w:cs="Tahoma"/>
                <w:b/>
                <w:bCs/>
                <w:sz w:val="18"/>
                <w:szCs w:val="18"/>
              </w:rPr>
              <w:t>/ podać numer katalogowy oferowanego sprzętu</w:t>
            </w:r>
          </w:p>
          <w:p w:rsidR="009574B6" w:rsidRPr="0024243A" w:rsidRDefault="009574B6" w:rsidP="0031781D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A6F70" w:rsidRPr="0024243A" w:rsidTr="009574B6">
        <w:trPr>
          <w:cantSplit/>
          <w:trHeight w:val="421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EA6F70" w:rsidRPr="0024243A" w:rsidRDefault="00B20FE2" w:rsidP="000B7679">
            <w:pPr>
              <w:spacing w:before="60" w:line="288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Kamera medyczna Full HD</w:t>
            </w:r>
            <w:r w:rsidR="000B7679">
              <w:rPr>
                <w:rFonts w:ascii="Century Gothic" w:hAnsi="Century Gothic"/>
                <w:b/>
                <w:sz w:val="16"/>
                <w:szCs w:val="16"/>
              </w:rPr>
              <w:t>–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1</w:t>
            </w:r>
            <w:r w:rsidR="000B7679">
              <w:rPr>
                <w:rFonts w:ascii="Century Gothic" w:hAnsi="Century Gothic"/>
                <w:b/>
                <w:sz w:val="16"/>
                <w:szCs w:val="16"/>
              </w:rPr>
              <w:t>szt.</w:t>
            </w:r>
          </w:p>
        </w:tc>
      </w:tr>
      <w:tr w:rsidR="00EA6F70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EA6F70" w:rsidRPr="0024243A" w:rsidRDefault="00EA6F70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EA6F70" w:rsidRPr="00830A01" w:rsidRDefault="000B7679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Kamera medyczna </w:t>
            </w:r>
            <w:r w:rsidR="00B20FE2">
              <w:rPr>
                <w:rFonts w:ascii="Century Gothic" w:hAnsi="Century Gothic" w:cs="Arial"/>
                <w:bCs/>
                <w:sz w:val="16"/>
                <w:szCs w:val="16"/>
              </w:rPr>
              <w:t>Full HD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o rozdzielc</w:t>
            </w:r>
            <w:r w:rsidR="00B20FE2">
              <w:rPr>
                <w:rFonts w:ascii="Century Gothic" w:hAnsi="Century Gothic" w:cs="Arial"/>
                <w:bCs/>
                <w:sz w:val="16"/>
                <w:szCs w:val="16"/>
              </w:rPr>
              <w:t>zości nie gorszej niż 1920 x 1080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pixeli</w:t>
            </w:r>
            <w:proofErr w:type="spellEnd"/>
          </w:p>
        </w:tc>
        <w:tc>
          <w:tcPr>
            <w:tcW w:w="600" w:type="pct"/>
            <w:shd w:val="clear" w:color="auto" w:fill="FFFFFF"/>
            <w:vAlign w:val="center"/>
          </w:tcPr>
          <w:p w:rsidR="00EA6F70" w:rsidRPr="004F01DF" w:rsidRDefault="00EA6F70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4F01DF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A6F70" w:rsidRPr="0024243A" w:rsidRDefault="00EA6F70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A6F70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EA6F70" w:rsidRPr="0024243A" w:rsidRDefault="00EA6F70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EA6F70" w:rsidRPr="004F01DF" w:rsidRDefault="002F7F37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Sterownik z możliwością</w:t>
            </w:r>
            <w:r w:rsidR="00B20FE2">
              <w:rPr>
                <w:rFonts w:ascii="Century Gothic" w:hAnsi="Century Gothic" w:cs="Arial"/>
                <w:bCs/>
                <w:sz w:val="16"/>
                <w:szCs w:val="16"/>
              </w:rPr>
              <w:t xml:space="preserve"> podłączenia głowic 1 i 3 chipowych</w:t>
            </w:r>
            <w:r w:rsidR="0031781D">
              <w:rPr>
                <w:rFonts w:ascii="Century Gothic" w:hAnsi="Century Gothic" w:cs="Arial"/>
                <w:bCs/>
                <w:sz w:val="16"/>
                <w:szCs w:val="16"/>
              </w:rPr>
              <w:t xml:space="preserve"> oraz </w:t>
            </w:r>
            <w:proofErr w:type="spellStart"/>
            <w:r w:rsidR="0031781D">
              <w:rPr>
                <w:rFonts w:ascii="Century Gothic" w:hAnsi="Century Gothic" w:cs="Arial"/>
                <w:bCs/>
                <w:sz w:val="16"/>
                <w:szCs w:val="16"/>
              </w:rPr>
              <w:t>videoendoskopów</w:t>
            </w:r>
            <w:proofErr w:type="spellEnd"/>
            <w:r w:rsidR="0031781D">
              <w:rPr>
                <w:rFonts w:ascii="Century Gothic" w:hAnsi="Century Gothic" w:cs="Arial"/>
                <w:bCs/>
                <w:sz w:val="16"/>
                <w:szCs w:val="16"/>
              </w:rPr>
              <w:t xml:space="preserve"> typu </w:t>
            </w:r>
            <w:proofErr w:type="spellStart"/>
            <w:r w:rsidR="0031781D">
              <w:rPr>
                <w:rFonts w:ascii="Century Gothic" w:hAnsi="Century Gothic" w:cs="Arial"/>
                <w:bCs/>
                <w:sz w:val="16"/>
                <w:szCs w:val="16"/>
              </w:rPr>
              <w:t>videoureterorenoskop</w:t>
            </w:r>
            <w:proofErr w:type="spellEnd"/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videocystoskop</w:t>
            </w:r>
            <w:proofErr w:type="spellEnd"/>
          </w:p>
        </w:tc>
        <w:tc>
          <w:tcPr>
            <w:tcW w:w="600" w:type="pct"/>
            <w:shd w:val="clear" w:color="auto" w:fill="FFFFFF"/>
            <w:vAlign w:val="center"/>
          </w:tcPr>
          <w:p w:rsidR="00EA6F70" w:rsidRPr="004F01DF" w:rsidRDefault="00EA6F70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A6F70" w:rsidRPr="0024243A" w:rsidRDefault="00EA6F70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A6F70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EA6F70" w:rsidRPr="0024243A" w:rsidRDefault="00EA6F70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EA6F70" w:rsidRDefault="00B20FE2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Możliwość </w:t>
            </w:r>
            <w:r w:rsidR="00164F48">
              <w:rPr>
                <w:rFonts w:ascii="Century Gothic" w:hAnsi="Century Gothic" w:cs="Arial"/>
                <w:bCs/>
                <w:sz w:val="16"/>
                <w:szCs w:val="16"/>
              </w:rPr>
              <w:t xml:space="preserve">archiwizacji </w:t>
            </w:r>
            <w:r w:rsidR="002F7F37">
              <w:rPr>
                <w:rFonts w:ascii="Century Gothic" w:hAnsi="Century Gothic" w:cs="Arial"/>
                <w:bCs/>
                <w:sz w:val="16"/>
                <w:szCs w:val="16"/>
              </w:rPr>
              <w:t xml:space="preserve">zdjęć i filmów </w:t>
            </w:r>
            <w:r w:rsidR="00164F48">
              <w:rPr>
                <w:rFonts w:ascii="Century Gothic" w:hAnsi="Century Gothic" w:cs="Arial"/>
                <w:bCs/>
                <w:sz w:val="16"/>
                <w:szCs w:val="16"/>
              </w:rPr>
              <w:t xml:space="preserve">na pamięci przenośnej </w:t>
            </w:r>
            <w:proofErr w:type="spellStart"/>
            <w:r w:rsidR="00164F48">
              <w:rPr>
                <w:rFonts w:ascii="Century Gothic" w:hAnsi="Century Gothic" w:cs="Arial"/>
                <w:bCs/>
                <w:sz w:val="16"/>
                <w:szCs w:val="16"/>
              </w:rPr>
              <w:t>PenDrive</w:t>
            </w:r>
            <w:proofErr w:type="spellEnd"/>
            <w:r w:rsidR="00164F48">
              <w:rPr>
                <w:rFonts w:ascii="Century Gothic" w:hAnsi="Century Gothic" w:cs="Arial"/>
                <w:bCs/>
                <w:sz w:val="16"/>
                <w:szCs w:val="16"/>
              </w:rPr>
              <w:t>, w zestawie nośnik danych o pojemności nie mniej niż 8 GB</w:t>
            </w:r>
          </w:p>
          <w:p w:rsidR="0031781D" w:rsidRDefault="0031781D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Gniazdo 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usb</w:t>
            </w:r>
            <w:proofErr w:type="spellEnd"/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w łatwo dostępnym miejscu na panelu czołowym serownika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EA6F70" w:rsidRDefault="0031177E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A6F70" w:rsidRPr="0024243A" w:rsidRDefault="00EA6F70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D768BB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D768BB" w:rsidRPr="0024243A" w:rsidRDefault="00D768BB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D768BB" w:rsidRDefault="00B20FE2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 zestawie przewodowy pilot do obsługi menu kamery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D768BB" w:rsidRDefault="008F78EF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D768BB" w:rsidRPr="0024243A" w:rsidRDefault="00D768BB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2F7F37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2F7F37" w:rsidRPr="0024243A" w:rsidRDefault="002F7F37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2F7F37" w:rsidRDefault="002F7F37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 zestawie klawiatura do obsługi funkcji kamery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2F7F37" w:rsidRDefault="002F7F37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2F7F37" w:rsidRPr="0024243A" w:rsidRDefault="002F7F37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8F78EF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8F78EF" w:rsidRPr="0024243A" w:rsidRDefault="008F78EF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8F78EF" w:rsidRDefault="00164F48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Głowica kamery 1-Chip</w:t>
            </w:r>
            <w:r w:rsidR="00E97878">
              <w:rPr>
                <w:rFonts w:ascii="Century Gothic" w:hAnsi="Century Gothic" w:cs="Arial"/>
                <w:bCs/>
                <w:sz w:val="16"/>
                <w:szCs w:val="16"/>
              </w:rPr>
              <w:t>owa o wadze nie większej niż 180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g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8F78EF" w:rsidRDefault="008F78EF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TAK </w:t>
            </w:r>
          </w:p>
          <w:p w:rsidR="00E97878" w:rsidRDefault="00E97878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Do 175 g – 10 pkt.</w:t>
            </w:r>
          </w:p>
          <w:p w:rsidR="00E97878" w:rsidRDefault="00E97878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Powyżej 175 g – 0 pkt.</w:t>
            </w:r>
          </w:p>
        </w:tc>
        <w:tc>
          <w:tcPr>
            <w:tcW w:w="1008" w:type="pct"/>
            <w:shd w:val="clear" w:color="auto" w:fill="FFFFFF"/>
          </w:tcPr>
          <w:p w:rsidR="008F78EF" w:rsidRPr="0024243A" w:rsidRDefault="008F78EF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8F78EF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8F78EF" w:rsidRPr="0024243A" w:rsidRDefault="008F78EF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8F78EF" w:rsidRDefault="00164F48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Głowica </w:t>
            </w:r>
            <w:r w:rsidR="002F7F37">
              <w:rPr>
                <w:rFonts w:ascii="Century Gothic" w:hAnsi="Century Gothic" w:cs="Arial"/>
                <w:bCs/>
                <w:sz w:val="16"/>
                <w:szCs w:val="16"/>
              </w:rPr>
              <w:t>kamery ze zintegrowanym na stałe obiektywem f=17 mm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8F78EF" w:rsidRDefault="008F78EF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8F78EF" w:rsidRPr="0024243A" w:rsidRDefault="008F78EF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8F78EF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8F78EF" w:rsidRPr="0024243A" w:rsidRDefault="008F78EF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8F78EF" w:rsidRDefault="002F7F37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Głowica kamery z funkcją obrotową „twist”, jedno położenie dla głowicy prostej, drugie dla głowicy typu „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pendulum</w:t>
            </w:r>
            <w:proofErr w:type="spellEnd"/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”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8F78EF" w:rsidRDefault="000735E6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8F78EF" w:rsidRPr="0024243A" w:rsidRDefault="008F78EF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0735E6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0735E6" w:rsidRPr="0024243A" w:rsidRDefault="000735E6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0735E6" w:rsidRDefault="0031781D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Głowica kamery wyposażona w 2 programowalne przyciski, które umożliwiają obsługę 4 funkcji kamery  jednoczasowo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735E6" w:rsidRDefault="000735E6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0735E6" w:rsidRPr="0024243A" w:rsidRDefault="000735E6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0735E6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0735E6" w:rsidRPr="0024243A" w:rsidRDefault="000735E6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0735E6" w:rsidRDefault="0031781D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Zapięcie głowicy kamery z optyką po zbliżeniu okularu optyki automatyczne bez dodatkowych czynności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0735E6" w:rsidRDefault="000735E6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0735E6" w:rsidRPr="0024243A" w:rsidRDefault="000735E6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40163D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40163D" w:rsidRPr="0024243A" w:rsidRDefault="0040163D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40163D" w:rsidRDefault="0031781D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Balans bieli dostępny z przycisku na głowicy kamery oraz z panelu czołowego sterownika kamery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40163D" w:rsidRDefault="00A83A5B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40163D" w:rsidRPr="0024243A" w:rsidRDefault="0040163D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A83A5B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A83A5B" w:rsidRPr="0024243A" w:rsidRDefault="00A83A5B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A83A5B" w:rsidRDefault="007364C4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Czułość g</w:t>
            </w:r>
            <w:r w:rsidR="002F7F37">
              <w:rPr>
                <w:rFonts w:ascii="Century Gothic" w:hAnsi="Century Gothic" w:cs="Arial"/>
                <w:bCs/>
                <w:sz w:val="16"/>
                <w:szCs w:val="16"/>
              </w:rPr>
              <w:t>łowicy kamery nie gorsza niż 1,87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lux</w:t>
            </w:r>
            <w:proofErr w:type="spellEnd"/>
          </w:p>
        </w:tc>
        <w:tc>
          <w:tcPr>
            <w:tcW w:w="600" w:type="pct"/>
            <w:shd w:val="clear" w:color="auto" w:fill="FFFFFF"/>
            <w:vAlign w:val="center"/>
          </w:tcPr>
          <w:p w:rsidR="00A83A5B" w:rsidRDefault="00A83A5B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A83A5B" w:rsidRPr="0024243A" w:rsidRDefault="00A83A5B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2F7F37" w:rsidRPr="0024243A" w:rsidTr="009574B6">
        <w:trPr>
          <w:cantSplit/>
          <w:trHeight w:val="880"/>
        </w:trPr>
        <w:tc>
          <w:tcPr>
            <w:tcW w:w="170" w:type="pct"/>
            <w:shd w:val="clear" w:color="auto" w:fill="auto"/>
            <w:vAlign w:val="center"/>
          </w:tcPr>
          <w:p w:rsidR="002F7F37" w:rsidRPr="0024243A" w:rsidRDefault="002F7F37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2F7F37" w:rsidRDefault="002F7F37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Zakres temperatury barwowej balansu bieli do 7000 K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2F7F37" w:rsidRDefault="002F7F37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2F7F37" w:rsidRPr="0024243A" w:rsidRDefault="002F7F37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A83A5B" w:rsidRPr="0024243A" w:rsidTr="009574B6">
        <w:trPr>
          <w:cantSplit/>
          <w:trHeight w:val="1482"/>
        </w:trPr>
        <w:tc>
          <w:tcPr>
            <w:tcW w:w="170" w:type="pct"/>
            <w:shd w:val="clear" w:color="auto" w:fill="auto"/>
            <w:vAlign w:val="center"/>
          </w:tcPr>
          <w:p w:rsidR="00A83A5B" w:rsidRPr="0024243A" w:rsidRDefault="00A83A5B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A83A5B" w:rsidRDefault="007364C4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Wyjście sygnału HDMI  min. 1x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A83A5B" w:rsidRDefault="00A83A5B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  <w:p w:rsidR="00E97878" w:rsidRDefault="00E97878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2 wyjścia HDMI – 10 pkt.</w:t>
            </w:r>
          </w:p>
          <w:p w:rsidR="00E97878" w:rsidRDefault="00E97878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 wyjście HDMI – 0 pkt.</w:t>
            </w:r>
          </w:p>
        </w:tc>
        <w:tc>
          <w:tcPr>
            <w:tcW w:w="1008" w:type="pct"/>
            <w:shd w:val="clear" w:color="auto" w:fill="FFFFFF"/>
          </w:tcPr>
          <w:p w:rsidR="00A83A5B" w:rsidRPr="0024243A" w:rsidRDefault="00A83A5B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332F49" w:rsidRPr="0024243A" w:rsidTr="009574B6">
        <w:trPr>
          <w:cantSplit/>
          <w:trHeight w:val="495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332F49" w:rsidRPr="0024243A" w:rsidRDefault="00332F49" w:rsidP="002F7F37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Monitor medyczny – 1szt.</w:t>
            </w:r>
          </w:p>
        </w:tc>
      </w:tr>
      <w:tr w:rsidR="00A83A5B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A83A5B" w:rsidRPr="0024243A" w:rsidRDefault="00A83A5B" w:rsidP="00EA6F70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  <w:vAlign w:val="center"/>
          </w:tcPr>
          <w:p w:rsidR="00A83A5B" w:rsidRDefault="00332F49" w:rsidP="00EA6F70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Monitor medyczny o przekątnej ekranu </w:t>
            </w:r>
            <w:r w:rsidR="0030658C">
              <w:rPr>
                <w:rFonts w:ascii="Century Gothic" w:hAnsi="Century Gothic" w:cs="Arial"/>
                <w:bCs/>
                <w:sz w:val="16"/>
                <w:szCs w:val="16"/>
              </w:rPr>
              <w:t>min. 26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>”</w:t>
            </w:r>
            <w:r w:rsidR="007364C4">
              <w:rPr>
                <w:rFonts w:ascii="Century Gothic" w:hAnsi="Century Gothic" w:cs="Arial"/>
                <w:bCs/>
                <w:sz w:val="16"/>
                <w:szCs w:val="16"/>
              </w:rPr>
              <w:t xml:space="preserve"> LED (IPS)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A83A5B" w:rsidRDefault="00A83A5B" w:rsidP="00EA6F70">
            <w:pPr>
              <w:spacing w:before="60" w:line="288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A83A5B" w:rsidRPr="0024243A" w:rsidRDefault="00A83A5B" w:rsidP="00EA6F70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7364C4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7364C4">
              <w:rPr>
                <w:rFonts w:ascii="Century Gothic" w:hAnsi="Century Gothic" w:cs="Arial"/>
                <w:bCs/>
                <w:sz w:val="16"/>
                <w:szCs w:val="16"/>
              </w:rPr>
              <w:t xml:space="preserve">Rozdzielczość nie gorsza niż 1920x1080 </w:t>
            </w:r>
            <w:proofErr w:type="spellStart"/>
            <w:r w:rsidRPr="007364C4">
              <w:rPr>
                <w:rFonts w:ascii="Century Gothic" w:hAnsi="Century Gothic" w:cs="Arial"/>
                <w:bCs/>
                <w:sz w:val="16"/>
                <w:szCs w:val="16"/>
              </w:rPr>
              <w:t>pixeli</w:t>
            </w:r>
            <w:proofErr w:type="spellEnd"/>
          </w:p>
        </w:tc>
        <w:tc>
          <w:tcPr>
            <w:tcW w:w="600" w:type="pct"/>
            <w:shd w:val="clear" w:color="auto" w:fill="FFFFFF"/>
          </w:tcPr>
          <w:p w:rsidR="007364C4" w:rsidRDefault="007364C4" w:rsidP="007364C4">
            <w:pPr>
              <w:jc w:val="center"/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7364C4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7364C4">
              <w:rPr>
                <w:rFonts w:ascii="Century Gothic" w:hAnsi="Century Gothic" w:cs="Arial"/>
                <w:bCs/>
                <w:sz w:val="16"/>
                <w:szCs w:val="16"/>
              </w:rPr>
              <w:t>Format obrazu nie mniejszy niż 16:9</w:t>
            </w:r>
          </w:p>
        </w:tc>
        <w:tc>
          <w:tcPr>
            <w:tcW w:w="600" w:type="pct"/>
            <w:shd w:val="clear" w:color="auto" w:fill="FFFFFF"/>
          </w:tcPr>
          <w:p w:rsidR="007364C4" w:rsidRDefault="007364C4" w:rsidP="007364C4">
            <w:pPr>
              <w:jc w:val="center"/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30658C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Jasność nie gorsza niż 400</w:t>
            </w:r>
            <w:r w:rsidR="007364C4" w:rsidRPr="007364C4">
              <w:rPr>
                <w:rFonts w:ascii="Century Gothic" w:hAnsi="Century Gothic" w:cs="Arial"/>
                <w:bCs/>
                <w:sz w:val="16"/>
                <w:szCs w:val="16"/>
              </w:rPr>
              <w:t xml:space="preserve"> cd/m2</w:t>
            </w:r>
          </w:p>
        </w:tc>
        <w:tc>
          <w:tcPr>
            <w:tcW w:w="600" w:type="pct"/>
            <w:shd w:val="clear" w:color="auto" w:fill="FFFFFF"/>
          </w:tcPr>
          <w:p w:rsidR="007364C4" w:rsidRDefault="007364C4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  <w:p w:rsidR="00E97878" w:rsidRDefault="00E97878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Jasność do 450 cd/m2 – 0 pkt.</w:t>
            </w:r>
          </w:p>
          <w:p w:rsidR="00E97878" w:rsidRDefault="00E97878" w:rsidP="007364C4">
            <w:pPr>
              <w:jc w:val="center"/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Jasność powyżej 450 cd/m2 – 10 pkt. 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30658C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Kontrast nie gorszy niż 800 </w:t>
            </w:r>
            <w:r w:rsidR="007364C4" w:rsidRPr="007364C4">
              <w:rPr>
                <w:rFonts w:ascii="Century Gothic" w:hAnsi="Century Gothic" w:cs="Arial"/>
                <w:bCs/>
                <w:sz w:val="16"/>
                <w:szCs w:val="16"/>
              </w:rPr>
              <w:t>:1</w:t>
            </w:r>
          </w:p>
        </w:tc>
        <w:tc>
          <w:tcPr>
            <w:tcW w:w="600" w:type="pct"/>
            <w:shd w:val="clear" w:color="auto" w:fill="FFFFFF"/>
          </w:tcPr>
          <w:p w:rsidR="007364C4" w:rsidRDefault="007364C4" w:rsidP="007364C4">
            <w:pPr>
              <w:jc w:val="center"/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7364C4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7364C4">
              <w:rPr>
                <w:rFonts w:ascii="Century Gothic" w:hAnsi="Century Gothic" w:cs="Arial"/>
                <w:bCs/>
                <w:sz w:val="16"/>
                <w:szCs w:val="16"/>
              </w:rPr>
              <w:t>Czas reakcji plamki nie gorszy niż 14 ms</w:t>
            </w:r>
          </w:p>
        </w:tc>
        <w:tc>
          <w:tcPr>
            <w:tcW w:w="600" w:type="pct"/>
            <w:shd w:val="clear" w:color="auto" w:fill="FFFFFF"/>
          </w:tcPr>
          <w:p w:rsidR="007364C4" w:rsidRDefault="007364C4" w:rsidP="007364C4">
            <w:pPr>
              <w:jc w:val="center"/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7364C4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 w:rsidRPr="007364C4">
              <w:rPr>
                <w:rFonts w:ascii="Century Gothic" w:hAnsi="Century Gothic" w:cs="Arial"/>
                <w:bCs/>
                <w:sz w:val="16"/>
                <w:szCs w:val="16"/>
              </w:rPr>
              <w:t>Kąty patrzenia w stopniach: G/D: 178, L/P 178</w:t>
            </w:r>
          </w:p>
        </w:tc>
        <w:tc>
          <w:tcPr>
            <w:tcW w:w="600" w:type="pct"/>
            <w:shd w:val="clear" w:color="auto" w:fill="FFFFFF"/>
          </w:tcPr>
          <w:p w:rsidR="007364C4" w:rsidRPr="006A587B" w:rsidRDefault="007364C4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7364C4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7364C4" w:rsidRPr="0024243A" w:rsidRDefault="007364C4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7364C4" w:rsidRPr="007364C4" w:rsidRDefault="0030658C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Wejścia: min. 1 </w:t>
            </w:r>
            <w:r w:rsidR="007364C4" w:rsidRPr="007364C4">
              <w:rPr>
                <w:rFonts w:ascii="Century Gothic" w:hAnsi="Century Gothic" w:cs="Arial"/>
                <w:bCs/>
                <w:sz w:val="16"/>
                <w:szCs w:val="16"/>
              </w:rPr>
              <w:t>x DVI-D</w:t>
            </w:r>
          </w:p>
        </w:tc>
        <w:tc>
          <w:tcPr>
            <w:tcW w:w="600" w:type="pct"/>
            <w:shd w:val="clear" w:color="auto" w:fill="FFFFFF"/>
          </w:tcPr>
          <w:p w:rsidR="007364C4" w:rsidRPr="006A587B" w:rsidRDefault="007364C4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A587B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7364C4" w:rsidRPr="0024243A" w:rsidRDefault="007364C4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75D72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75D72" w:rsidRPr="0024243A" w:rsidRDefault="00E75D72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75D72" w:rsidRPr="007364C4" w:rsidRDefault="00E75D72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 zestawie stabilna podstawa monitora – 1 szt.</w:t>
            </w:r>
          </w:p>
        </w:tc>
        <w:tc>
          <w:tcPr>
            <w:tcW w:w="600" w:type="pct"/>
            <w:shd w:val="clear" w:color="auto" w:fill="FFFFFF"/>
          </w:tcPr>
          <w:p w:rsidR="00E75D72" w:rsidRPr="006A587B" w:rsidRDefault="00E75D72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75D72" w:rsidRPr="0024243A" w:rsidRDefault="00E75D72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2F7F37" w:rsidRPr="0024243A" w:rsidTr="009574B6">
        <w:trPr>
          <w:cantSplit/>
          <w:trHeight w:val="61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2F7F37" w:rsidRPr="0024243A" w:rsidRDefault="002F7F37" w:rsidP="002F7F37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>Źródło światła  – 1 szt.</w:t>
            </w:r>
          </w:p>
        </w:tc>
      </w:tr>
      <w:tr w:rsidR="002F7F37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2F7F37" w:rsidRPr="0024243A" w:rsidRDefault="002F7F37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2F7F37" w:rsidRDefault="002F7F37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Źródło światła LED o mocy odpowiadającej min. 180 W </w:t>
            </w:r>
            <w:r w:rsidR="009C77C2">
              <w:rPr>
                <w:rFonts w:ascii="Century Gothic" w:hAnsi="Century Gothic" w:cs="Arial"/>
                <w:bCs/>
                <w:sz w:val="16"/>
                <w:szCs w:val="16"/>
              </w:rPr>
              <w:t>lampie ksenonowej</w:t>
            </w:r>
          </w:p>
        </w:tc>
        <w:tc>
          <w:tcPr>
            <w:tcW w:w="600" w:type="pct"/>
            <w:shd w:val="clear" w:color="auto" w:fill="FFFFFF"/>
          </w:tcPr>
          <w:p w:rsidR="002F7F37" w:rsidRDefault="00E97878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2F7F37" w:rsidRPr="0024243A" w:rsidRDefault="002F7F37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Żywotność diod LED nie mniej niż 27 000 h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174A95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  <w:p w:rsidR="00E97878" w:rsidRDefault="00E97878" w:rsidP="00E9787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Do 29 000 h – 0 pkt.</w:t>
            </w:r>
          </w:p>
          <w:p w:rsidR="00E97878" w:rsidRDefault="00E97878" w:rsidP="00E97878">
            <w:pPr>
              <w:jc w:val="center"/>
            </w:pPr>
            <w:r>
              <w:rPr>
                <w:rFonts w:ascii="Century Gothic" w:hAnsi="Century Gothic" w:cs="Arial"/>
                <w:sz w:val="18"/>
                <w:szCs w:val="18"/>
              </w:rPr>
              <w:t>Powyżej 30 000 h – 10 pkt.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Na panelu czołowym gniazda do podłączenia min. 3 różnych światłowodów bez stosowania dodatkowych adapterów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174A95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2F7F37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2F7F37" w:rsidRPr="0024243A" w:rsidRDefault="002F7F37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9C77C2" w:rsidRDefault="009C77C2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Funkcja „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standby</w:t>
            </w:r>
            <w:proofErr w:type="spellEnd"/>
            <w:r>
              <w:rPr>
                <w:rFonts w:ascii="Century Gothic" w:hAnsi="Century Gothic" w:cs="Arial"/>
                <w:bCs/>
                <w:sz w:val="16"/>
                <w:szCs w:val="16"/>
              </w:rPr>
              <w:t>” uruchamiana z panelu czołowego urządzenia</w:t>
            </w:r>
          </w:p>
          <w:p w:rsidR="009C77C2" w:rsidRDefault="009C77C2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600" w:type="pct"/>
            <w:shd w:val="clear" w:color="auto" w:fill="FFFFFF"/>
          </w:tcPr>
          <w:p w:rsidR="002F7F37" w:rsidRDefault="00E97878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2F7F37" w:rsidRPr="0024243A" w:rsidRDefault="002F7F37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Regulacja natężenia światła w zakresie 0-100 % na panelu czołowym urządzenia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AB3DB8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Poziom głośności nie większy niż 25 </w:t>
            </w:r>
            <w:proofErr w:type="spellStart"/>
            <w:r>
              <w:rPr>
                <w:rFonts w:ascii="Century Gothic" w:hAnsi="Century Gothic" w:cs="Arial"/>
                <w:bCs/>
                <w:sz w:val="16"/>
                <w:szCs w:val="16"/>
              </w:rPr>
              <w:t>dB</w:t>
            </w:r>
            <w:proofErr w:type="spellEnd"/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AB3DB8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Temperatura barwowa 6500 K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AB3DB8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9C77C2" w:rsidRPr="0024243A" w:rsidTr="009574B6">
        <w:trPr>
          <w:cantSplit/>
          <w:trHeight w:val="617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9C77C2" w:rsidRPr="0024243A" w:rsidRDefault="009C77C2" w:rsidP="009C77C2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>Wózek aparaturowy  – 1 szt.</w:t>
            </w:r>
          </w:p>
        </w:tc>
      </w:tr>
      <w:tr w:rsidR="009C77C2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9C77C2" w:rsidRPr="0024243A" w:rsidRDefault="009C77C2" w:rsidP="007364C4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9C77C2" w:rsidRDefault="009C77C2" w:rsidP="007364C4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Wózek z minimum 2 półkami dla </w:t>
            </w:r>
            <w:r w:rsidR="0030658C">
              <w:rPr>
                <w:rFonts w:ascii="Century Gothic" w:hAnsi="Century Gothic" w:cs="Arial"/>
                <w:bCs/>
                <w:sz w:val="16"/>
                <w:szCs w:val="16"/>
              </w:rPr>
              <w:t>swobodnego ustawienia zestawu</w:t>
            </w:r>
          </w:p>
        </w:tc>
        <w:tc>
          <w:tcPr>
            <w:tcW w:w="600" w:type="pct"/>
            <w:shd w:val="clear" w:color="auto" w:fill="FFFFFF"/>
          </w:tcPr>
          <w:p w:rsidR="009C77C2" w:rsidRDefault="00E97878" w:rsidP="007364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9C77C2" w:rsidRPr="0024243A" w:rsidRDefault="009C77C2" w:rsidP="007364C4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Podstawa jezdna na 4 dużych kołach (w tym 2 z blokadą) z zabezpieczeniem przeciwko najeżdżaniu na kable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2B46E4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Możliwość podłączenia wszystkich urządzeń na krótkich kablach zasilających do gniazd w relingu wózka i włączanie wszystkich urządzeń jednym przełącznikiem na panelu bocznym wózka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2B46E4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Wózek wyposażony w uchwyt do głowicy kamery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2B46E4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>Wózek wyposażony w uchwyt do światłowodu</w:t>
            </w: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2B46E4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E97878" w:rsidRPr="0024243A" w:rsidTr="009574B6">
        <w:trPr>
          <w:cantSplit/>
          <w:trHeight w:val="880"/>
        </w:trPr>
        <w:tc>
          <w:tcPr>
            <w:tcW w:w="170" w:type="pct"/>
            <w:shd w:val="clear" w:color="auto" w:fill="FFFFFF"/>
            <w:vAlign w:val="center"/>
          </w:tcPr>
          <w:p w:rsidR="00E97878" w:rsidRPr="0024243A" w:rsidRDefault="00E97878" w:rsidP="00E97878">
            <w:pPr>
              <w:numPr>
                <w:ilvl w:val="0"/>
                <w:numId w:val="1"/>
              </w:num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3222" w:type="pct"/>
            <w:shd w:val="clear" w:color="auto" w:fill="FFFFFF"/>
          </w:tcPr>
          <w:p w:rsidR="00E97878" w:rsidRDefault="00E97878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Wózek wyposażony w wysięgnik infuzyjny do zawieszenia worków z płynem </w:t>
            </w:r>
          </w:p>
          <w:p w:rsidR="00B57960" w:rsidRDefault="00B57960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  <w:p w:rsidR="00B57960" w:rsidRDefault="00B57960" w:rsidP="00E97878">
            <w:pPr>
              <w:spacing w:before="60" w:line="288" w:lineRule="auto"/>
              <w:rPr>
                <w:rFonts w:ascii="Century Gothic" w:hAnsi="Century Gothic" w:cs="Arial"/>
                <w:bCs/>
                <w:sz w:val="16"/>
                <w:szCs w:val="16"/>
              </w:rPr>
            </w:pPr>
          </w:p>
        </w:tc>
        <w:tc>
          <w:tcPr>
            <w:tcW w:w="600" w:type="pct"/>
            <w:shd w:val="clear" w:color="auto" w:fill="FFFFFF"/>
          </w:tcPr>
          <w:p w:rsidR="00E97878" w:rsidRDefault="00E97878" w:rsidP="00E97878">
            <w:pPr>
              <w:jc w:val="center"/>
            </w:pPr>
            <w:r w:rsidRPr="002B46E4">
              <w:rPr>
                <w:rFonts w:ascii="Century Gothic" w:hAnsi="Century Gothic" w:cs="Arial"/>
                <w:sz w:val="18"/>
                <w:szCs w:val="18"/>
              </w:rPr>
              <w:t>TAK</w:t>
            </w:r>
          </w:p>
        </w:tc>
        <w:tc>
          <w:tcPr>
            <w:tcW w:w="1008" w:type="pct"/>
            <w:shd w:val="clear" w:color="auto" w:fill="FFFFFF"/>
          </w:tcPr>
          <w:p w:rsidR="00E97878" w:rsidRPr="0024243A" w:rsidRDefault="00E97878" w:rsidP="00E97878">
            <w:pPr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</w:tbl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6663"/>
        <w:gridCol w:w="992"/>
        <w:gridCol w:w="2268"/>
      </w:tblGrid>
      <w:tr w:rsidR="00B57960" w:rsidRPr="00B52979" w:rsidTr="009574B6">
        <w:tc>
          <w:tcPr>
            <w:tcW w:w="567" w:type="dxa"/>
          </w:tcPr>
          <w:p w:rsidR="00B57960" w:rsidRPr="00B52979" w:rsidRDefault="00B57960" w:rsidP="0004574D">
            <w:pPr>
              <w:snapToGrid w:val="0"/>
              <w:ind w:left="72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  <w:r w:rsidRPr="00B52979">
              <w:rPr>
                <w:rFonts w:ascii="Candara" w:hAnsi="Candara"/>
                <w:b/>
                <w:sz w:val="22"/>
                <w:szCs w:val="22"/>
              </w:rPr>
              <w:t>Gwarancja i serwis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B57960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Gwarancja </w:t>
            </w:r>
            <w:r>
              <w:rPr>
                <w:rFonts w:ascii="Candara" w:hAnsi="Candara"/>
                <w:sz w:val="22"/>
                <w:szCs w:val="22"/>
              </w:rPr>
              <w:t>(</w:t>
            </w:r>
            <w:r w:rsidRPr="00B52979">
              <w:rPr>
                <w:rFonts w:ascii="Candara" w:hAnsi="Candara"/>
                <w:sz w:val="22"/>
                <w:szCs w:val="22"/>
              </w:rPr>
              <w:t>min. 24 miesiące</w:t>
            </w:r>
            <w:r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Instalacja aparatu przez autoryzowany serwis producenta (autoryzowany serwis gwarancyjny i pogwarancyjny).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Szkolenie personelu medycznego w zakresie eksploatacji i obsługi aparatu w miejscu instalacji.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Certyfikat </w:t>
            </w:r>
            <w:r>
              <w:rPr>
                <w:rFonts w:ascii="Candara" w:hAnsi="Candara"/>
                <w:sz w:val="22"/>
                <w:szCs w:val="22"/>
              </w:rPr>
              <w:t>CE na aparat (doku</w:t>
            </w:r>
            <w:r>
              <w:rPr>
                <w:rFonts w:ascii="Candara" w:hAnsi="Candara"/>
                <w:sz w:val="22"/>
                <w:szCs w:val="22"/>
              </w:rPr>
              <w:t>menty dostarczyć wraz ze sprzętem</w:t>
            </w:r>
            <w:r w:rsidRPr="00B52979"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Autoryzacja producenta na serwis i sp</w:t>
            </w:r>
            <w:r>
              <w:rPr>
                <w:rFonts w:ascii="Candara" w:hAnsi="Candara"/>
                <w:sz w:val="22"/>
                <w:szCs w:val="22"/>
              </w:rPr>
              <w:t>rzedaż zaoferowanego sprzętu</w:t>
            </w:r>
            <w:r w:rsidRPr="00B52979">
              <w:rPr>
                <w:rFonts w:ascii="Candara" w:hAnsi="Candara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>na terenie Polski (doku</w:t>
            </w:r>
            <w:r>
              <w:rPr>
                <w:rFonts w:ascii="Candara" w:hAnsi="Candara"/>
                <w:sz w:val="22"/>
                <w:szCs w:val="22"/>
              </w:rPr>
              <w:t>menty dostarczyć wraz ze sprzętem</w:t>
            </w:r>
            <w:r w:rsidRPr="00B52979"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B57960" w:rsidRPr="00B52979" w:rsidTr="009574B6">
        <w:tc>
          <w:tcPr>
            <w:tcW w:w="567" w:type="dxa"/>
          </w:tcPr>
          <w:p w:rsidR="00B57960" w:rsidRPr="00B52979" w:rsidRDefault="00B57960" w:rsidP="00B5796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6663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Instrukcja obsługi w języku pol</w:t>
            </w:r>
            <w:r>
              <w:rPr>
                <w:rFonts w:ascii="Candara" w:hAnsi="Candara"/>
                <w:sz w:val="22"/>
                <w:szCs w:val="22"/>
              </w:rPr>
              <w:t>skim (dostarczyć wraz ze sprzętem</w:t>
            </w:r>
            <w:r w:rsidRPr="00B52979"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auto"/>
          </w:tcPr>
          <w:p w:rsidR="00B57960" w:rsidRPr="00B52979" w:rsidRDefault="00B57960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</w:tbl>
    <w:p w:rsidR="00B57960" w:rsidRDefault="00B57960" w:rsidP="00B57960">
      <w:pPr>
        <w:jc w:val="both"/>
        <w:rPr>
          <w:rFonts w:ascii="Candara" w:hAnsi="Candara"/>
        </w:rPr>
      </w:pPr>
    </w:p>
    <w:p w:rsidR="00B57960" w:rsidRDefault="00B57960" w:rsidP="00B57960">
      <w:pPr>
        <w:jc w:val="both"/>
        <w:rPr>
          <w:rFonts w:ascii="Candara" w:hAnsi="Candara"/>
        </w:rPr>
      </w:pPr>
    </w:p>
    <w:p w:rsidR="00B57960" w:rsidRDefault="00B57960" w:rsidP="00B57960">
      <w:pPr>
        <w:jc w:val="both"/>
        <w:rPr>
          <w:rFonts w:ascii="Candara" w:hAnsi="Candara"/>
        </w:rPr>
      </w:pPr>
    </w:p>
    <w:p w:rsidR="00B57960" w:rsidRPr="00061176" w:rsidRDefault="00B57960" w:rsidP="00B57960">
      <w:pPr>
        <w:jc w:val="both"/>
        <w:rPr>
          <w:rFonts w:ascii="Candara" w:hAnsi="Candara"/>
        </w:rPr>
      </w:pPr>
      <w:r w:rsidRPr="00061176">
        <w:rPr>
          <w:rFonts w:ascii="Candara" w:hAnsi="Candara"/>
        </w:rPr>
        <w:t xml:space="preserve">Dla umożliwienia Zamawiającemu weryfikacji udzielonych odpowiedzi odnośnie spełnienia warunków granicznych i/lub ich wartości należy </w:t>
      </w:r>
      <w:r>
        <w:rPr>
          <w:rFonts w:ascii="Candara" w:hAnsi="Candara"/>
        </w:rPr>
        <w:t xml:space="preserve">do oferty dołączyć </w:t>
      </w:r>
      <w:r w:rsidRPr="00061176">
        <w:rPr>
          <w:rFonts w:ascii="Candara" w:hAnsi="Candara"/>
        </w:rPr>
        <w:t xml:space="preserve"> materiały opisowe pochodzące od producenta: oryginalne ulotki, katalogi, opisy przedmiotu zamówienia, dokumentację techniczną oferowanego sprzęt</w:t>
      </w:r>
      <w:r>
        <w:rPr>
          <w:rFonts w:ascii="Candara" w:hAnsi="Candara"/>
        </w:rPr>
        <w:t>u/ przedmiotu zamówienia,</w:t>
      </w:r>
      <w:r w:rsidRPr="00061176">
        <w:rPr>
          <w:rFonts w:ascii="Candara" w:hAnsi="Candara"/>
        </w:rPr>
        <w:t xml:space="preserve"> instrukcje obsługi itp. Stosowne materiały opisowe pochodzące od producenta należy załączyć w oryginale lub jako kserokopie poświadczone za zgodność z oryginałem.</w:t>
      </w:r>
    </w:p>
    <w:p w:rsidR="00B57960" w:rsidRPr="00061176" w:rsidRDefault="00B57960" w:rsidP="00B57960">
      <w:pPr>
        <w:jc w:val="both"/>
        <w:rPr>
          <w:rFonts w:ascii="Candara" w:hAnsi="Candara"/>
        </w:rPr>
      </w:pPr>
      <w:r w:rsidRPr="00061176">
        <w:rPr>
          <w:rFonts w:ascii="Candara" w:hAnsi="Candara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B57960" w:rsidRPr="00162993" w:rsidRDefault="00B57960" w:rsidP="00B57960">
      <w:pPr>
        <w:jc w:val="both"/>
        <w:rPr>
          <w:rFonts w:ascii="Tahoma" w:hAnsi="Tahoma" w:cs="Tahoma"/>
          <w:b/>
          <w:sz w:val="20"/>
          <w:szCs w:val="20"/>
        </w:rPr>
      </w:pPr>
    </w:p>
    <w:p w:rsidR="00EA6F70" w:rsidRDefault="00EA6F70" w:rsidP="00B57960"/>
    <w:sectPr w:rsidR="00EA6F70" w:rsidSect="00B57960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E7C" w:rsidRDefault="000B3E7C" w:rsidP="00B57960">
      <w:r>
        <w:separator/>
      </w:r>
    </w:p>
  </w:endnote>
  <w:endnote w:type="continuationSeparator" w:id="0">
    <w:p w:rsidR="000B3E7C" w:rsidRDefault="000B3E7C" w:rsidP="00B5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E7C" w:rsidRDefault="000B3E7C" w:rsidP="00B57960">
      <w:r>
        <w:separator/>
      </w:r>
    </w:p>
  </w:footnote>
  <w:footnote w:type="continuationSeparator" w:id="0">
    <w:p w:rsidR="000B3E7C" w:rsidRDefault="000B3E7C" w:rsidP="00B57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960" w:rsidRDefault="00B57960">
    <w:pPr>
      <w:pStyle w:val="Nagwek"/>
    </w:pPr>
  </w:p>
  <w:p w:rsidR="00B57960" w:rsidRDefault="00B579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A75"/>
    <w:multiLevelType w:val="hybridMultilevel"/>
    <w:tmpl w:val="5B228BAC"/>
    <w:lvl w:ilvl="0" w:tplc="955EAFA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005D7"/>
    <w:multiLevelType w:val="hybridMultilevel"/>
    <w:tmpl w:val="EB302206"/>
    <w:lvl w:ilvl="0" w:tplc="B9D48C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F70"/>
    <w:rsid w:val="0000053E"/>
    <w:rsid w:val="00005107"/>
    <w:rsid w:val="0000710D"/>
    <w:rsid w:val="000072A6"/>
    <w:rsid w:val="000176CF"/>
    <w:rsid w:val="00021E6F"/>
    <w:rsid w:val="00021EC6"/>
    <w:rsid w:val="00026A26"/>
    <w:rsid w:val="00030AA1"/>
    <w:rsid w:val="00037F6A"/>
    <w:rsid w:val="000457D9"/>
    <w:rsid w:val="00053C5B"/>
    <w:rsid w:val="00062C61"/>
    <w:rsid w:val="00072533"/>
    <w:rsid w:val="000735E6"/>
    <w:rsid w:val="00073BEB"/>
    <w:rsid w:val="00074D8A"/>
    <w:rsid w:val="00080CCB"/>
    <w:rsid w:val="00087866"/>
    <w:rsid w:val="000B3E7C"/>
    <w:rsid w:val="000B7679"/>
    <w:rsid w:val="000C1382"/>
    <w:rsid w:val="000C3A4E"/>
    <w:rsid w:val="000C4113"/>
    <w:rsid w:val="000C71A9"/>
    <w:rsid w:val="000D18EA"/>
    <w:rsid w:val="000E0BCF"/>
    <w:rsid w:val="000E0ECC"/>
    <w:rsid w:val="000E4B3C"/>
    <w:rsid w:val="00114970"/>
    <w:rsid w:val="00122552"/>
    <w:rsid w:val="001238A3"/>
    <w:rsid w:val="00123BC4"/>
    <w:rsid w:val="00132964"/>
    <w:rsid w:val="00134D3E"/>
    <w:rsid w:val="00134D8C"/>
    <w:rsid w:val="001527DB"/>
    <w:rsid w:val="001572AE"/>
    <w:rsid w:val="00164F48"/>
    <w:rsid w:val="00166522"/>
    <w:rsid w:val="0018562C"/>
    <w:rsid w:val="001A0149"/>
    <w:rsid w:val="001A03D9"/>
    <w:rsid w:val="001A3CAC"/>
    <w:rsid w:val="001B2B56"/>
    <w:rsid w:val="001C0CC9"/>
    <w:rsid w:val="001D2054"/>
    <w:rsid w:val="001E3ABB"/>
    <w:rsid w:val="00200A7A"/>
    <w:rsid w:val="00202066"/>
    <w:rsid w:val="00204EAD"/>
    <w:rsid w:val="00227A85"/>
    <w:rsid w:val="00237972"/>
    <w:rsid w:val="00237B03"/>
    <w:rsid w:val="00263C22"/>
    <w:rsid w:val="002756D7"/>
    <w:rsid w:val="00276951"/>
    <w:rsid w:val="002924F4"/>
    <w:rsid w:val="00292B52"/>
    <w:rsid w:val="002A5111"/>
    <w:rsid w:val="002A5A80"/>
    <w:rsid w:val="002B05D2"/>
    <w:rsid w:val="002B1D31"/>
    <w:rsid w:val="002B207A"/>
    <w:rsid w:val="002C2E56"/>
    <w:rsid w:val="002C652C"/>
    <w:rsid w:val="002D7397"/>
    <w:rsid w:val="002F788E"/>
    <w:rsid w:val="002F7F37"/>
    <w:rsid w:val="00300E96"/>
    <w:rsid w:val="00302F84"/>
    <w:rsid w:val="0030658C"/>
    <w:rsid w:val="0031177E"/>
    <w:rsid w:val="00314F85"/>
    <w:rsid w:val="00315C3B"/>
    <w:rsid w:val="0031781D"/>
    <w:rsid w:val="00321612"/>
    <w:rsid w:val="00332F49"/>
    <w:rsid w:val="0033454D"/>
    <w:rsid w:val="00347DDB"/>
    <w:rsid w:val="0035151D"/>
    <w:rsid w:val="00353020"/>
    <w:rsid w:val="003573C2"/>
    <w:rsid w:val="0036273E"/>
    <w:rsid w:val="00362B03"/>
    <w:rsid w:val="00396362"/>
    <w:rsid w:val="003A426A"/>
    <w:rsid w:val="003A6C1F"/>
    <w:rsid w:val="003B4AF9"/>
    <w:rsid w:val="003B6C6C"/>
    <w:rsid w:val="003C205C"/>
    <w:rsid w:val="003C633E"/>
    <w:rsid w:val="003C7896"/>
    <w:rsid w:val="003D03CA"/>
    <w:rsid w:val="003D0D12"/>
    <w:rsid w:val="003E75A5"/>
    <w:rsid w:val="003F47EA"/>
    <w:rsid w:val="0040163D"/>
    <w:rsid w:val="00401724"/>
    <w:rsid w:val="004018AA"/>
    <w:rsid w:val="00401DA4"/>
    <w:rsid w:val="00413D94"/>
    <w:rsid w:val="00415635"/>
    <w:rsid w:val="00417A80"/>
    <w:rsid w:val="00420654"/>
    <w:rsid w:val="00434D34"/>
    <w:rsid w:val="00450D1F"/>
    <w:rsid w:val="00474CAA"/>
    <w:rsid w:val="00492217"/>
    <w:rsid w:val="004A6801"/>
    <w:rsid w:val="004B24C1"/>
    <w:rsid w:val="004B5BC1"/>
    <w:rsid w:val="004D0F33"/>
    <w:rsid w:val="004D22D6"/>
    <w:rsid w:val="004E0B4D"/>
    <w:rsid w:val="004E1E33"/>
    <w:rsid w:val="004F2235"/>
    <w:rsid w:val="004F4A8D"/>
    <w:rsid w:val="004F6EFA"/>
    <w:rsid w:val="005007C0"/>
    <w:rsid w:val="00507359"/>
    <w:rsid w:val="005309D4"/>
    <w:rsid w:val="00540AB7"/>
    <w:rsid w:val="00550FE6"/>
    <w:rsid w:val="00554468"/>
    <w:rsid w:val="005550A7"/>
    <w:rsid w:val="00572F89"/>
    <w:rsid w:val="00573A13"/>
    <w:rsid w:val="00580A86"/>
    <w:rsid w:val="00583DD1"/>
    <w:rsid w:val="00586CD1"/>
    <w:rsid w:val="005A3097"/>
    <w:rsid w:val="005A6CA4"/>
    <w:rsid w:val="005E45E1"/>
    <w:rsid w:val="005F2029"/>
    <w:rsid w:val="005F424C"/>
    <w:rsid w:val="00611BDD"/>
    <w:rsid w:val="00621143"/>
    <w:rsid w:val="00621AF6"/>
    <w:rsid w:val="00622CAE"/>
    <w:rsid w:val="0063128F"/>
    <w:rsid w:val="00644E4D"/>
    <w:rsid w:val="00645FBB"/>
    <w:rsid w:val="00656E9E"/>
    <w:rsid w:val="006826D9"/>
    <w:rsid w:val="00684AD8"/>
    <w:rsid w:val="006A4B8E"/>
    <w:rsid w:val="006A50B9"/>
    <w:rsid w:val="006B45FC"/>
    <w:rsid w:val="006B53D4"/>
    <w:rsid w:val="006E15FE"/>
    <w:rsid w:val="006E1A5B"/>
    <w:rsid w:val="006E6109"/>
    <w:rsid w:val="006F45B1"/>
    <w:rsid w:val="00723A07"/>
    <w:rsid w:val="0073176A"/>
    <w:rsid w:val="007321C0"/>
    <w:rsid w:val="007364C4"/>
    <w:rsid w:val="00742FCE"/>
    <w:rsid w:val="0074363B"/>
    <w:rsid w:val="0074612A"/>
    <w:rsid w:val="007515CF"/>
    <w:rsid w:val="00754764"/>
    <w:rsid w:val="007714F3"/>
    <w:rsid w:val="00772255"/>
    <w:rsid w:val="0078284B"/>
    <w:rsid w:val="00791E32"/>
    <w:rsid w:val="00797362"/>
    <w:rsid w:val="007A1F60"/>
    <w:rsid w:val="007A5714"/>
    <w:rsid w:val="007A614B"/>
    <w:rsid w:val="007B3FBE"/>
    <w:rsid w:val="007D50CB"/>
    <w:rsid w:val="007F11DD"/>
    <w:rsid w:val="007F5A50"/>
    <w:rsid w:val="00806563"/>
    <w:rsid w:val="00812546"/>
    <w:rsid w:val="00823C7D"/>
    <w:rsid w:val="00823E66"/>
    <w:rsid w:val="00825598"/>
    <w:rsid w:val="00827A6D"/>
    <w:rsid w:val="00830A01"/>
    <w:rsid w:val="00831989"/>
    <w:rsid w:val="00833406"/>
    <w:rsid w:val="00836034"/>
    <w:rsid w:val="00836D8D"/>
    <w:rsid w:val="00847643"/>
    <w:rsid w:val="00847E08"/>
    <w:rsid w:val="00850B16"/>
    <w:rsid w:val="00856A4B"/>
    <w:rsid w:val="00862921"/>
    <w:rsid w:val="00871571"/>
    <w:rsid w:val="00881327"/>
    <w:rsid w:val="00881957"/>
    <w:rsid w:val="008828CC"/>
    <w:rsid w:val="008901B8"/>
    <w:rsid w:val="0089022C"/>
    <w:rsid w:val="008976E0"/>
    <w:rsid w:val="008A1119"/>
    <w:rsid w:val="008A28B1"/>
    <w:rsid w:val="008A3445"/>
    <w:rsid w:val="008A65C6"/>
    <w:rsid w:val="008B2F33"/>
    <w:rsid w:val="008C5A7E"/>
    <w:rsid w:val="008D0482"/>
    <w:rsid w:val="008D0B0F"/>
    <w:rsid w:val="008D5CE0"/>
    <w:rsid w:val="008E5989"/>
    <w:rsid w:val="008F6424"/>
    <w:rsid w:val="008F6470"/>
    <w:rsid w:val="008F78EF"/>
    <w:rsid w:val="00907769"/>
    <w:rsid w:val="009078C2"/>
    <w:rsid w:val="0091721C"/>
    <w:rsid w:val="00923A95"/>
    <w:rsid w:val="009274EF"/>
    <w:rsid w:val="00932CF6"/>
    <w:rsid w:val="00940EE3"/>
    <w:rsid w:val="00944132"/>
    <w:rsid w:val="00952B9E"/>
    <w:rsid w:val="009574B6"/>
    <w:rsid w:val="00961F9D"/>
    <w:rsid w:val="00967EE5"/>
    <w:rsid w:val="00977808"/>
    <w:rsid w:val="009909EB"/>
    <w:rsid w:val="00994FFA"/>
    <w:rsid w:val="009A7037"/>
    <w:rsid w:val="009B57C0"/>
    <w:rsid w:val="009B6E0E"/>
    <w:rsid w:val="009C77C2"/>
    <w:rsid w:val="009D2563"/>
    <w:rsid w:val="009D5231"/>
    <w:rsid w:val="009D7F6C"/>
    <w:rsid w:val="009E12B1"/>
    <w:rsid w:val="009E35C6"/>
    <w:rsid w:val="00A00673"/>
    <w:rsid w:val="00A12E65"/>
    <w:rsid w:val="00A270C6"/>
    <w:rsid w:val="00A277A8"/>
    <w:rsid w:val="00A5200D"/>
    <w:rsid w:val="00A5505C"/>
    <w:rsid w:val="00A562FD"/>
    <w:rsid w:val="00A71EC3"/>
    <w:rsid w:val="00A800E4"/>
    <w:rsid w:val="00A83A5B"/>
    <w:rsid w:val="00A92387"/>
    <w:rsid w:val="00A96E1F"/>
    <w:rsid w:val="00AA3CCF"/>
    <w:rsid w:val="00AA48B0"/>
    <w:rsid w:val="00AA54EC"/>
    <w:rsid w:val="00AB45B1"/>
    <w:rsid w:val="00AC278E"/>
    <w:rsid w:val="00AD71C4"/>
    <w:rsid w:val="00AF3C63"/>
    <w:rsid w:val="00AF42FC"/>
    <w:rsid w:val="00AF6850"/>
    <w:rsid w:val="00B07AD1"/>
    <w:rsid w:val="00B07DA3"/>
    <w:rsid w:val="00B14CC2"/>
    <w:rsid w:val="00B16DDD"/>
    <w:rsid w:val="00B20FE2"/>
    <w:rsid w:val="00B240A3"/>
    <w:rsid w:val="00B30331"/>
    <w:rsid w:val="00B3510D"/>
    <w:rsid w:val="00B369F4"/>
    <w:rsid w:val="00B41DCE"/>
    <w:rsid w:val="00B448B2"/>
    <w:rsid w:val="00B4605E"/>
    <w:rsid w:val="00B54077"/>
    <w:rsid w:val="00B551AC"/>
    <w:rsid w:val="00B57960"/>
    <w:rsid w:val="00B6272F"/>
    <w:rsid w:val="00B65753"/>
    <w:rsid w:val="00B65FAB"/>
    <w:rsid w:val="00B676D4"/>
    <w:rsid w:val="00B74B36"/>
    <w:rsid w:val="00B82BF6"/>
    <w:rsid w:val="00B83C42"/>
    <w:rsid w:val="00B903F7"/>
    <w:rsid w:val="00B94476"/>
    <w:rsid w:val="00BA0FF9"/>
    <w:rsid w:val="00BC43AF"/>
    <w:rsid w:val="00BC466C"/>
    <w:rsid w:val="00BC7FE1"/>
    <w:rsid w:val="00BD60A7"/>
    <w:rsid w:val="00BE11BE"/>
    <w:rsid w:val="00BF41C5"/>
    <w:rsid w:val="00C003E6"/>
    <w:rsid w:val="00C0544C"/>
    <w:rsid w:val="00C4073A"/>
    <w:rsid w:val="00C43210"/>
    <w:rsid w:val="00C53034"/>
    <w:rsid w:val="00C61081"/>
    <w:rsid w:val="00C61145"/>
    <w:rsid w:val="00C754BB"/>
    <w:rsid w:val="00C8175F"/>
    <w:rsid w:val="00C93183"/>
    <w:rsid w:val="00CA60AE"/>
    <w:rsid w:val="00CA6A9C"/>
    <w:rsid w:val="00CB0FA2"/>
    <w:rsid w:val="00CB1807"/>
    <w:rsid w:val="00CB3685"/>
    <w:rsid w:val="00CB7905"/>
    <w:rsid w:val="00CC5F1C"/>
    <w:rsid w:val="00CD43CD"/>
    <w:rsid w:val="00CD5E47"/>
    <w:rsid w:val="00CE0BD0"/>
    <w:rsid w:val="00CE2E55"/>
    <w:rsid w:val="00CF01C1"/>
    <w:rsid w:val="00CF4D29"/>
    <w:rsid w:val="00CF6BC8"/>
    <w:rsid w:val="00D148A0"/>
    <w:rsid w:val="00D161F2"/>
    <w:rsid w:val="00D171DE"/>
    <w:rsid w:val="00D3390E"/>
    <w:rsid w:val="00D4037F"/>
    <w:rsid w:val="00D4201B"/>
    <w:rsid w:val="00D45FBA"/>
    <w:rsid w:val="00D47A9D"/>
    <w:rsid w:val="00D5574A"/>
    <w:rsid w:val="00D7335D"/>
    <w:rsid w:val="00D768BB"/>
    <w:rsid w:val="00D776AE"/>
    <w:rsid w:val="00D86E9D"/>
    <w:rsid w:val="00D9632F"/>
    <w:rsid w:val="00DA124B"/>
    <w:rsid w:val="00DA13C0"/>
    <w:rsid w:val="00DB2893"/>
    <w:rsid w:val="00DB6E80"/>
    <w:rsid w:val="00DC2DDC"/>
    <w:rsid w:val="00DC4C04"/>
    <w:rsid w:val="00DD0F96"/>
    <w:rsid w:val="00DD18E7"/>
    <w:rsid w:val="00DD2DB7"/>
    <w:rsid w:val="00DD3385"/>
    <w:rsid w:val="00DF06D7"/>
    <w:rsid w:val="00DF0E47"/>
    <w:rsid w:val="00DF13E5"/>
    <w:rsid w:val="00DF2072"/>
    <w:rsid w:val="00DF4901"/>
    <w:rsid w:val="00DF65AC"/>
    <w:rsid w:val="00E06446"/>
    <w:rsid w:val="00E13B6B"/>
    <w:rsid w:val="00E1452E"/>
    <w:rsid w:val="00E16B1A"/>
    <w:rsid w:val="00E26464"/>
    <w:rsid w:val="00E27361"/>
    <w:rsid w:val="00E35731"/>
    <w:rsid w:val="00E362FC"/>
    <w:rsid w:val="00E448B3"/>
    <w:rsid w:val="00E65440"/>
    <w:rsid w:val="00E75D72"/>
    <w:rsid w:val="00E77FA8"/>
    <w:rsid w:val="00E825D8"/>
    <w:rsid w:val="00E833EF"/>
    <w:rsid w:val="00E87207"/>
    <w:rsid w:val="00E90908"/>
    <w:rsid w:val="00E9598F"/>
    <w:rsid w:val="00E97878"/>
    <w:rsid w:val="00EA3D92"/>
    <w:rsid w:val="00EA6F70"/>
    <w:rsid w:val="00EC02F2"/>
    <w:rsid w:val="00EC0E1D"/>
    <w:rsid w:val="00EC1A60"/>
    <w:rsid w:val="00EC490D"/>
    <w:rsid w:val="00ED1996"/>
    <w:rsid w:val="00EF4C96"/>
    <w:rsid w:val="00F00865"/>
    <w:rsid w:val="00F23E46"/>
    <w:rsid w:val="00F243A7"/>
    <w:rsid w:val="00F40C62"/>
    <w:rsid w:val="00F413F9"/>
    <w:rsid w:val="00F4526F"/>
    <w:rsid w:val="00F55EBE"/>
    <w:rsid w:val="00F6131F"/>
    <w:rsid w:val="00F62D0D"/>
    <w:rsid w:val="00F64A8B"/>
    <w:rsid w:val="00F67570"/>
    <w:rsid w:val="00F70CE3"/>
    <w:rsid w:val="00F72149"/>
    <w:rsid w:val="00F83560"/>
    <w:rsid w:val="00F86D32"/>
    <w:rsid w:val="00FB011C"/>
    <w:rsid w:val="00FB3F75"/>
    <w:rsid w:val="00FC729A"/>
    <w:rsid w:val="00FD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AEEB8-EB92-4566-85E8-D59EBFA98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5D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D7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7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7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79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9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Reszel</dc:creator>
  <cp:keywords/>
  <dc:description/>
  <cp:lastModifiedBy>user</cp:lastModifiedBy>
  <cp:revision>2</cp:revision>
  <cp:lastPrinted>2018-10-30T13:29:00Z</cp:lastPrinted>
  <dcterms:created xsi:type="dcterms:W3CDTF">2018-10-30T13:30:00Z</dcterms:created>
  <dcterms:modified xsi:type="dcterms:W3CDTF">2018-10-30T13:30:00Z</dcterms:modified>
</cp:coreProperties>
</file>