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4DD" w:rsidRDefault="00F324DD">
      <w:bookmarkStart w:id="0" w:name="_GoBack"/>
      <w:bookmarkEnd w:id="0"/>
    </w:p>
    <w:p w:rsidR="00F324DD" w:rsidRDefault="00F324DD"/>
    <w:p w:rsidR="00F324DD" w:rsidRDefault="00F324DD">
      <w:r>
        <w:t xml:space="preserve">                                                                                                                                                        Załącznik nr 2</w:t>
      </w:r>
    </w:p>
    <w:p w:rsidR="00F324DD" w:rsidRDefault="00F324DD">
      <w:r>
        <w:t xml:space="preserve">Pakiet 2 </w:t>
      </w:r>
    </w:p>
    <w:p w:rsidR="00F324DD" w:rsidRDefault="00884366">
      <w:r>
        <w:t xml:space="preserve">Kardiomonitory – 4 szt. wraz z centralą 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51"/>
        <w:gridCol w:w="4337"/>
        <w:gridCol w:w="58"/>
        <w:gridCol w:w="1134"/>
        <w:gridCol w:w="367"/>
        <w:gridCol w:w="1051"/>
        <w:gridCol w:w="33"/>
        <w:gridCol w:w="1526"/>
      </w:tblGrid>
      <w:tr w:rsidR="00F324DD" w:rsidRPr="00856840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F324DD" w:rsidRPr="00856840" w:rsidRDefault="00F324DD" w:rsidP="00E3418D">
            <w:pPr>
              <w:tabs>
                <w:tab w:val="left" w:pos="708"/>
              </w:tabs>
              <w:snapToGrid w:val="0"/>
              <w:spacing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856840">
              <w:rPr>
                <w:rFonts w:ascii="Calibri" w:hAnsi="Calibri" w:cs="Calibri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F324DD" w:rsidRPr="00856840" w:rsidRDefault="00F324DD" w:rsidP="00E3418D">
            <w:pPr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56840">
              <w:rPr>
                <w:rFonts w:ascii="Calibri" w:hAnsi="Calibri" w:cs="Calibri"/>
                <w:b/>
                <w:sz w:val="22"/>
                <w:szCs w:val="22"/>
              </w:rPr>
              <w:t>Opis parametru, funkcji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F324DD" w:rsidRPr="00856840" w:rsidRDefault="00F324DD" w:rsidP="00E3418D">
            <w:pPr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56840">
              <w:rPr>
                <w:rFonts w:ascii="Calibri" w:hAnsi="Calibri" w:cs="Calibri"/>
                <w:b/>
                <w:sz w:val="22"/>
                <w:szCs w:val="22"/>
              </w:rPr>
              <w:t>Wymogi graniczne TAK/NIE</w:t>
            </w:r>
          </w:p>
        </w:tc>
        <w:tc>
          <w:tcPr>
            <w:tcW w:w="597" w:type="pct"/>
            <w:gridSpan w:val="2"/>
            <w:vAlign w:val="center"/>
          </w:tcPr>
          <w:p w:rsidR="00F324DD" w:rsidRPr="00856840" w:rsidRDefault="00F324DD" w:rsidP="00E3418D">
            <w:pPr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56840">
              <w:rPr>
                <w:rFonts w:ascii="Calibri" w:hAnsi="Calibri" w:cs="Calibri"/>
                <w:b/>
                <w:sz w:val="22"/>
                <w:szCs w:val="22"/>
              </w:rPr>
              <w:t>Parametry oferowane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F324DD" w:rsidRPr="00856840" w:rsidRDefault="00F324DD" w:rsidP="00E3418D">
            <w:pPr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56840">
              <w:rPr>
                <w:rFonts w:ascii="Calibri" w:hAnsi="Calibri" w:cs="Calibri"/>
                <w:b/>
                <w:bCs/>
                <w:sz w:val="22"/>
                <w:szCs w:val="22"/>
              </w:rPr>
              <w:t>PUNKTACJA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3164BC" w:rsidRDefault="00884366" w:rsidP="00884366">
            <w:pPr>
              <w:spacing w:line="240" w:lineRule="auto"/>
              <w:contextualSpacing/>
              <w:rPr>
                <w:rFonts w:cstheme="minorHAnsi"/>
              </w:rPr>
            </w:pPr>
            <w:r w:rsidRPr="003164BC">
              <w:rPr>
                <w:rFonts w:cstheme="minorHAnsi"/>
              </w:rPr>
              <w:t xml:space="preserve">Nazwa, typ, model 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Podać </w:t>
            </w:r>
          </w:p>
        </w:tc>
        <w:tc>
          <w:tcPr>
            <w:tcW w:w="597" w:type="pct"/>
            <w:gridSpan w:val="2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3164BC" w:rsidRDefault="00884366" w:rsidP="00884366">
            <w:pPr>
              <w:spacing w:line="240" w:lineRule="auto"/>
              <w:contextualSpacing/>
              <w:rPr>
                <w:rFonts w:cstheme="minorHAnsi"/>
              </w:rPr>
            </w:pPr>
            <w:r w:rsidRPr="003164BC">
              <w:rPr>
                <w:rFonts w:cstheme="minorHAnsi"/>
              </w:rPr>
              <w:t xml:space="preserve">Producent 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Podać</w:t>
            </w:r>
          </w:p>
        </w:tc>
        <w:tc>
          <w:tcPr>
            <w:tcW w:w="597" w:type="pct"/>
            <w:gridSpan w:val="2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3164BC" w:rsidRDefault="00884366" w:rsidP="00884366">
            <w:pPr>
              <w:spacing w:line="240" w:lineRule="auto"/>
              <w:contextualSpacing/>
              <w:rPr>
                <w:rFonts w:cstheme="minorHAnsi"/>
              </w:rPr>
            </w:pPr>
            <w:r w:rsidRPr="003164BC">
              <w:rPr>
                <w:rFonts w:cstheme="minorHAnsi"/>
              </w:rPr>
              <w:t xml:space="preserve">Nr katalogowy 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Podać </w:t>
            </w:r>
          </w:p>
        </w:tc>
        <w:tc>
          <w:tcPr>
            <w:tcW w:w="597" w:type="pct"/>
            <w:gridSpan w:val="2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Parametry ogólne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Monitor o konstrukcji modułowej z wymiennymi modułami możliwość rozbudowy monitora o dodatkowe funkcje w postaci wymiennych modułów 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Konstrukcja dostarczonego monitora zapewnia możliwość jednoczesnego monitorowania min. EKG, SpO2, NIBP, 2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xIBP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CO2, 2 x Temp.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Waga monitora z akumulatorem max.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kg. 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Możliwość rozbudowy o zdalny, bezprzewodowy sterownik monitorów, pozwalający na obsługę monitorów z odległości kilku metrów.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Chłodzenie konwekcyjne (bez użycia wentylatorów)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Tryb „Stand by”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Funkcja „stoper”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Wbudowany kalkulator powierzchni ciała (BSA) oraz kalkulator dawek leków.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Ekran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Ekran kolorowy, pojedynczy z aktywną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atrycą TFT. Przekątna ekranu min. 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"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Prezentacja min. 13 krzywych dynamicznych na ekranie bez użycia funkcji wyświetlania 12 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odpr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. EKG.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Prezentacja krzywych jedna pod drugą (nie dopuszcza się stosowania prezentacji krzywych w kolumnach umieszczonych obok siebie).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Możliwość wybierania kolorów przez użytkownika. 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Prezentacja min</w:t>
            </w: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.</w:t>
            </w: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1</w:t>
            </w: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5</w:t>
            </w: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krzywych dynamicznych – 10 pkt.</w:t>
            </w:r>
          </w:p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</w:p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Spełnienie wymagań – 0 pkt.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Rozdzielczość ekranu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: 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1024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x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768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„Duże Liczby” prezentowanych parametrów.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Przyciski szybkiego dostępu do wybranych funkcji/okien przeglądu okien monitora wyświetlane na ekranie głównym. Dostępne min. 4 przyciski z możliwością zmiany przypisanych do nich funkcji.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/NIE</w:t>
            </w:r>
          </w:p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TAK – 10 pkt.</w:t>
            </w:r>
          </w:p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</w:p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NIE – 0 pkt.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Możliwość zamrożenia krzywych celem ich analizy. Podczas „zamrożenia” krzywych dane numeryczne pozostają aktywne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Możliwość wyboru przez użytkownika strony ekranu (lewa lub prawa) gdzie prezentowane są wartości numeryczne mierzonych parametrów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/NIE</w:t>
            </w:r>
          </w:p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TAK – 10 pkt.</w:t>
            </w:r>
          </w:p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</w:p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NIE – 0 pkt.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Automatyczne dostosowanie układu ekranu monitora pacjenta w zależności od podłączonych parametrów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Obsługa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Komunikacja z użytkownikiem w języku polskim.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Komunikacja z użytkownikiem poprzez ekran dotykowy.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Obsługa bez użycia pokrętła.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/NIE</w:t>
            </w:r>
          </w:p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TAK – 10 pkt.</w:t>
            </w:r>
          </w:p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NIE – 0 pkt.</w:t>
            </w:r>
          </w:p>
        </w:tc>
      </w:tr>
      <w:tr w:rsidR="00884366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Zasilanie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Monitory zasilane elektrycznie 230 VAC/50 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±10%. 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Zasilanie z wbudowanego akumulatora 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0 minut pracy.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Czas ładowania akumulatora: do 2,5 godzin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Praca w sieci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Monitor z funkcją pracy w sieci LAN. Komunikacja pomięd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zy monitorami: podgląd krzywych, 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danych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stanów alarmowych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z poszczególnych stanowisk.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Możliwość zdalnego wyciszenia alarmu monitora z poziomu innego monitora.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Zaimplementowana funkcja podglądu danych numerycznych z min. 10 innych monitorów – funkcja realizowana bez zewnętrznych centrali/serwerów.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Komunikacja pomiędzy monitorami bez użycia specjalnych serwerów i centrali z możliwością podglądu wszystkich stanowisk.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Wydruki na drukarce laserowej podłączonej do sieci monito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rowania dostępne z poziomu monitora, funkcja aktywna w razie awarii centrali/serwerów.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Możliwość rozbudowy o przesyłanie danych do sieci informatycznej szpitala poprzez protokół HL7.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Alarmy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Wszystkie mierzone parametry, alarmy i nastawy dla różnych kategorii wiekowych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Alarmy min. 3 stopniowe (wizualne i akustyczne), rozróżnialne kolorem oraz tonem, wszystkich mierzonych parametrów z możliwością ustawiania granicy alarmów przez użytkownika.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Min. 3 stopniowy system zawieszenia alarmów. Alarmy techniczne z podaniem przyczyny alarmu.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Historia alarmów min. 1000 przypadków wraz z min. 4 krzywymi.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Historia więcej niż 2000 przypadków wraz z min. 4 krzywymi – 20 pkt.</w:t>
            </w:r>
          </w:p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</w:p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Spełnienie wymagań – 0 pkt.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Pamięć min. 1000 przypadków zdarzeń arytmii (niezależna od pamięci alarmów). Zdarzenie arytmii reprezentowane poprzez: datę i czas wystąpienia arytmii, typ arytmii i min. 6 sekundowy przebieg krzywej EKG.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Możliwość ustawienia eskalacji alarmów dla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alarmów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tj. po przekroczeniu ustawionych kryteriów alarm zmienia się z „ostrzeżenia” na krytyczny. 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Automatyczne ustawianie granic alarmowych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podstawie bieżących parametrów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Możliwość zaprogramowania przez Użytkownika min. 2 typowych dla oddziału zestawów alarmów.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/>
                <w:sz w:val="22"/>
                <w:szCs w:val="22"/>
              </w:rPr>
              <w:t>Zapamiętywanie danych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Pamięć i prezentacja trendów tabelarycznych i graficznych mierzonych parametrów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min. 24 godzin.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Monitor wyposażony w min. 2 niezależne okna trendu tabelarycznego.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Możliwość wykonania wydruku trendu tabelarycznego na sieciowej drukarce laserowej z poziomu monitora pacjenta. 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Jednoczasowa prezentacja min. 5 parametrów w trendzie graficznym.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Jednoczasowa prezentacja min. 6 parametrów w trendzie graficznym – 20 pkt.</w:t>
            </w:r>
          </w:p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</w:p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Spełnienie wymagań – 0 pkt.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Monitor wyposażony w min. 2 niezależne okna trendu graficznego z możliwością niezależnego ustawienia parametrów w nich zapisywanych.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Funkcja „holterowska” min. 4 różnych krzywych dynamicznych z ostatnich min. 24 godzin. Długość wyświetlanej krzywej min. 60sek.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Funkcja „holterowska” min. 5 różnych krzywych dynamicznych z ostatnich min. 24 godzin – 10 pkt.</w:t>
            </w:r>
          </w:p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</w:p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Spełnienie wymagań – 0 pkt.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Dedykowana pamięć przebiegu odcinka ST z ostatnich min. 24 godzin. Odcinek ST reprezentowany w postaci krzywej i wartości cyfrowej ST. 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Funkcja wyświetlania krótkich odcinków trendów obok odpowiadających im wartości cyfrowych. 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Synchronizacja czasowa pomiędzy trendami: tabelarycznymi, graficznymi i funkcja holterowską Tj. zaznaczone zdarzenie na jednym z rodzajów trendów jest automatycznie zaznaczone przy przejściu na pozostałe bez konieczności wyszukiwania na skali czasu.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Pomiar EKG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4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Możliwość ciągłej rejestracji i równoczasowej prezentacji na ekranie monitora 12 </w:t>
            </w:r>
            <w:proofErr w:type="spellStart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odprowadzeń</w:t>
            </w:r>
            <w:proofErr w:type="spellEnd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EKG (I, II, III, </w:t>
            </w:r>
            <w:proofErr w:type="spellStart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aVL</w:t>
            </w:r>
            <w:proofErr w:type="spellEnd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aVR</w:t>
            </w:r>
            <w:proofErr w:type="spellEnd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aVF</w:t>
            </w:r>
            <w:proofErr w:type="spellEnd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, V1-V6) po podłączeniu kabla 10 odprowadzeniowego.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Monitor wyposażony w funkcję analizy 12 odprowadzeniowego EKG z opisem wraz z tworzeniem raportów.</w:t>
            </w:r>
            <w:r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Zapis w pamięci monitora pacjenta min. 6 raportów</w:t>
            </w:r>
            <w:r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z 12 odprowadzeniowego EKG</w:t>
            </w: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. Możliwość wydruku</w:t>
            </w:r>
            <w:r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raportu 12 odprowadzeniowego EKG</w:t>
            </w: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na drukarce sieciowej bezpośrednio z monitora.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Automatyczna zmiana monitorowanego odprowadzenia w razie uszkodzenia lub odłączenia.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- Pomiar częstości pracy serca w zakresie: min. 15-300 ud/min.</w:t>
            </w:r>
          </w:p>
          <w:p w:rsidR="00884366" w:rsidRPr="006D3838" w:rsidRDefault="00884366" w:rsidP="00884366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- Zakres alarmów min.: 15-300 ud./min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Wybór rodzaju wykrywanego QRS dla: noworodków, dzieci i dorosłych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Pomiar i wyświetlanie PPK/VPC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Default="00884366" w:rsidP="00884366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Analiza odcinka ST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4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 xml:space="preserve">Ciągła analiza odcinka ST. Możliwość prezentacji analizy ST w czasie rzeczywistym, jednoczasowo (krzywe oraz wartości odcinka ST) z min. 12 </w:t>
            </w:r>
            <w:proofErr w:type="spellStart"/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odprowadzeń</w:t>
            </w:r>
            <w:proofErr w:type="spellEnd"/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 xml:space="preserve">. 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Trendy ST z min. 24 godzin.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Min. zakres pomiarowy: -2</w:t>
            </w:r>
            <w:r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5</w:t>
            </w: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 xml:space="preserve"> ÷ (+)2</w:t>
            </w:r>
            <w:r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5</w:t>
            </w: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 xml:space="preserve"> mm.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Funkcja ręcznego ustawiania pozycji punktów ISO odcinka ST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Analiza arytmii x 4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Rozpoznawanie min. 22 rodzajów zaburzeń w monitorze.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Oddech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4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Pomiar oddechu metodą impedancyjną. Prezentacja krzywej oddechowej i ilości oddechów na minutę.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Zakres pomiarowy częstości oddechów min.: 0-150 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odd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./min.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omiar bezdechu w zakresie min. 5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0 sekund.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Nieinwazyjny pomiar ciśnienia krwi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4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Nieinwazyjny pomiar ciśnienia tętniczego metodą oscylometryczną. Pomiar automatyczny, co określony czas, regulowany w zakresie min. 0 – 8 godzin. Pomiar ręczny i pomiar ciągły.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Prezentacja wartości: skurczowej, rozkurczowej oraz średniej NIBP- alarmy dla każdej wartości.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kres pomiarowy NIBP min: 10 – 29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0 mmHg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Funkcja umożliwiająca użytkownikowi włączenie lub wyłączenie w dowolnym momencie wykresu oscylacji podczas pomiaru NIBP.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Tryb 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Stazy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Żylnej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Zaim</w:t>
            </w:r>
            <w:r w:rsidRPr="0085685C">
              <w:rPr>
                <w:rFonts w:ascii="Calibri" w:hAnsi="Calibri" w:cs="Calibri"/>
                <w:sz w:val="22"/>
                <w:szCs w:val="22"/>
              </w:rPr>
              <w:t>plementowana funkcja automatycznego wyzwolenia pomiaru NIBP w przypadku wykrycia przez monitor przekroczenia granic alarmowych ciśnienia skurczowego z prezentacją dodatkowych wyników pomiarów w tabeli trendów z dedykowanym indeksem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Możliwość rozbudowy o pomiar NIBP podczas pompowania mankietu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Pomiar saturacji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4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Pomiar SpO2, z prezentacją krzywej 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pletyzmograficznej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, wartości SpO2 oraz tętna.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Zakres pomiarowy SpO</w:t>
            </w:r>
            <w:r w:rsidRPr="006D3838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min: 1 – 100%</w:t>
            </w:r>
          </w:p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Zakres pomiarowy pulsu min.: 30 – 300 ud./min.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Funkcja umożliwiająca użytkownikowi włączenie lub wyłączenie w dowolnym momencie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graficznego 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wskaźnika jakości sygnału SpO</w:t>
            </w:r>
            <w:r w:rsidRPr="006D3838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PI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261C1">
              <w:rPr>
                <w:rFonts w:asciiTheme="minorHAnsi" w:hAnsiTheme="minorHAnsi" w:cstheme="minorHAnsi"/>
                <w:sz w:val="22"/>
                <w:szCs w:val="22"/>
              </w:rPr>
              <w:t>Pomiar saturacji przy użyciu czujnika wodoszczelnego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typu klips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</w:tcPr>
          <w:p w:rsidR="00884366" w:rsidRPr="004C69B5" w:rsidRDefault="00884366" w:rsidP="00884366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b/>
                <w:sz w:val="22"/>
                <w:szCs w:val="22"/>
              </w:rPr>
              <w:t>Pomiar CO</w:t>
            </w:r>
            <w:r w:rsidRPr="004C69B5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 xml:space="preserve">2 </w:t>
            </w:r>
            <w:r w:rsidRPr="004C69B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x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Pomiar CO2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16945">
              <w:rPr>
                <w:rFonts w:asciiTheme="minorHAnsi" w:hAnsiTheme="minorHAnsi" w:cstheme="minorHAnsi"/>
                <w:sz w:val="22"/>
                <w:szCs w:val="22"/>
              </w:rPr>
              <w:t>w strumieniu głównym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5460">
              <w:rPr>
                <w:rFonts w:asciiTheme="minorHAnsi" w:hAnsiTheme="minorHAnsi" w:cstheme="minorHAnsi"/>
                <w:sz w:val="22"/>
                <w:szCs w:val="22"/>
              </w:rPr>
              <w:t>u pacjentów zaintubowanych</w:t>
            </w: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 za pośrednictwem modułu zasilanego i sterowanego z poziomu monitora pacjenta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84366" w:rsidRPr="004C69B5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43366">
              <w:rPr>
                <w:rFonts w:asciiTheme="minorHAnsi" w:hAnsiTheme="minorHAnsi" w:cstheme="minorHAnsi"/>
                <w:sz w:val="22"/>
                <w:szCs w:val="22"/>
              </w:rPr>
              <w:t xml:space="preserve">Pomiar CO2 w strumieniu głównym u pacjentów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Pr="00143366">
              <w:rPr>
                <w:rFonts w:asciiTheme="minorHAnsi" w:hAnsiTheme="minorHAnsi" w:cstheme="minorHAnsi"/>
                <w:sz w:val="22"/>
                <w:szCs w:val="22"/>
              </w:rPr>
              <w:t>zaintubowanych za pośrednictwem modułu zasilanego i sterowanego z poziomu monitora pacjenta.</w:t>
            </w:r>
          </w:p>
          <w:p w:rsidR="00884366" w:rsidRPr="004C69B5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Prezentacja cyfrowa. Prezentacja krzywej 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kapnograficznej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4C69B5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Pomiar CO2 w zakresie min. 3 – 95 mmHg.</w:t>
            </w:r>
          </w:p>
          <w:p w:rsidR="00884366" w:rsidRPr="004C69B5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Oddech: min. 3 – 140 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odd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./min.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4C69B5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Pomiar możliwy max. 7 sek. od podłączenia tzw. „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Warm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up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time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4C69B5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Zapewniona możliwość wymiany zaoferowanego modułu CO2 między stanowiskami bez udziału personelu technicznego i serwisu.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E24565" w:rsidRDefault="00884366" w:rsidP="00884366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2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Pomiar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IBP x 4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E24565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omiar ciśnieni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a: tętniczego, OCŻ, PA, RA, LA. 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Prezentacja krzywych dynamicznych ciśnienia na ekranie monitora. Prezentacja wartości: skurczowej, rozkurczowej oraz średniej dla ciśnień: tętniczego, PA lub wartości śr</w:t>
            </w:r>
            <w:r>
              <w:rPr>
                <w:rFonts w:ascii="Calibri" w:hAnsi="Calibri" w:cs="Calibri"/>
                <w:sz w:val="22"/>
                <w:szCs w:val="22"/>
              </w:rPr>
              <w:t>edniej dla ciśnień: OCŻ, RA, LA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. Alarmy dla każdej wartości ciśnienia.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E24565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3293">
              <w:rPr>
                <w:rFonts w:ascii="Calibri" w:hAnsi="Calibri" w:cs="Calibri"/>
                <w:sz w:val="22"/>
                <w:szCs w:val="22"/>
              </w:rPr>
              <w:t>Możliwość włączenia pomiaru wartości ciśnienia OCŻ w tym samym punkcie cyklu oddechowego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E24565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omiar wartości PPV oraz SPV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w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yświetlanie na ekranie głównym min. jednego z podanych parametrów w postaci liczbowej</w:t>
            </w:r>
            <w:r>
              <w:rPr>
                <w:rFonts w:ascii="Calibri" w:hAnsi="Calibri" w:cs="Calibri"/>
                <w:sz w:val="22"/>
                <w:szCs w:val="22"/>
              </w:rPr>
              <w:t>, m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ożliwość zmiany przez użytkownika w dowolnym momencie wyświetlanego parametru z PPV na SPV lub odwrotnie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</w:tcPr>
          <w:p w:rsidR="00884366" w:rsidRPr="00CF7287" w:rsidRDefault="00884366" w:rsidP="00884366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Możliwość rozbudowy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B11C32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Możliwość rozbudowy, bez udziału serwisu, o z</w:t>
            </w:r>
            <w:r w:rsidRPr="00616FD4">
              <w:rPr>
                <w:rFonts w:ascii="Calibri" w:hAnsi="Calibri" w:cs="Calibri"/>
                <w:sz w:val="22"/>
                <w:szCs w:val="22"/>
              </w:rPr>
              <w:t>asilany i sterowany z poziomu monitora pacjenta ciągły pomiar rzutu minutowego serca CCO. Pomiar możliwy z jednego dostępu naczyniowego. Pomiar z koniecznością prezentacji wartości numerycznych na ekranie kardiomonitora i zapisu trendów w kardiomonitorze.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11C32">
              <w:rPr>
                <w:rFonts w:ascii="Calibri" w:hAnsi="Calibri" w:cs="Calibri"/>
                <w:sz w:val="22"/>
                <w:szCs w:val="22"/>
              </w:rPr>
              <w:t>Możliwość rozbudowy monitora o wyświetlanie danych z respiratorów stacjonarnych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Pr="00B11C32">
              <w:rPr>
                <w:rFonts w:ascii="Calibri" w:hAnsi="Calibri" w:cs="Calibri"/>
                <w:sz w:val="22"/>
                <w:szCs w:val="22"/>
              </w:rPr>
              <w:t xml:space="preserve">Możliwość podłączenia min.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B11C32">
              <w:rPr>
                <w:rFonts w:ascii="Calibri" w:hAnsi="Calibri" w:cs="Calibri"/>
                <w:sz w:val="22"/>
                <w:szCs w:val="22"/>
              </w:rPr>
              <w:t xml:space="preserve"> różnych producentów respiratorów. Podać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producentów obsługiwanych urządzeń.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 PRODUCENTÓW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Spełnienie wymagań – 0 pkt.</w:t>
            </w:r>
          </w:p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</w:p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Możliwość podłączenia min.  7 różnych producentów respiratorów – 10 pkt.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ożliwość rozbudowy o pomiar EEG z modułu zasilanego i sterowanego z poziomu monitora pacjenta. 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Monitorowanie min.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kanałów EEG jednocześnie z użyciem 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ektrod podskórnych, miseczkowych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. Pomiar  i prezentacja co najmniej: SEF, MDF, TP, CSA, PPF %Delta, %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Theta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, %Alfa, %Beta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  <w:lang w:val="en-US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Możliwość rozbudowy o zasilany i sterowany z poziomu monitora pacjenta nieinwazyjny pomiar rzutu serca, który nie wymaga stosowania dedykowanych akcesoriów do realizacji pomiaru.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/NIE</w:t>
            </w:r>
          </w:p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TAK – 10 pkt.</w:t>
            </w:r>
          </w:p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NIE – 0 pkt.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  <w:vAlign w:val="center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Oferowane w</w:t>
            </w: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yposażenie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</w:tcPr>
          <w:p w:rsidR="00884366" w:rsidRPr="008D362F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Każdy monitor wyposażony w:</w:t>
            </w:r>
          </w:p>
          <w:p w:rsidR="00884366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Kabel EKG dla dorosłych x 1 szt.</w:t>
            </w:r>
          </w:p>
          <w:p w:rsidR="00884366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EKG, przewody pacjenta 3 odprowadzenia x 1 szt.</w:t>
            </w:r>
          </w:p>
          <w:p w:rsidR="00884366" w:rsidRPr="008D362F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zestaw min. 150 jednorazowych elektrod do pomiaru EKG x 1 szt.</w:t>
            </w:r>
          </w:p>
          <w:p w:rsidR="00884366" w:rsidRPr="008D362F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wężyk łączący mankiet z monitorem x 1 szt.</w:t>
            </w:r>
          </w:p>
          <w:p w:rsidR="00884366" w:rsidRPr="008D362F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 xml:space="preserve">- wielorazowy mankiet dla pacjentów dorosłych, rozmiar standardowy – 1 szt. </w:t>
            </w:r>
          </w:p>
          <w:p w:rsidR="00884366" w:rsidRPr="008D362F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wielorazowy wodoszczelny czujnik do pomiaru saturacji  – 1 szt.</w:t>
            </w:r>
          </w:p>
          <w:p w:rsidR="00884366" w:rsidRPr="008D362F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przewód do podłączenia czujnika saturacji x 1 szt.</w:t>
            </w:r>
          </w:p>
          <w:p w:rsidR="00884366" w:rsidRPr="008D362F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 xml:space="preserve">- moduł pomiaru IBP do jednorazowych przetworników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x 1</w:t>
            </w: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shd w:val="clear" w:color="auto" w:fill="auto"/>
          </w:tcPr>
          <w:p w:rsidR="00884366" w:rsidRPr="008D362F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Wyposażenie dodatkowe:</w:t>
            </w:r>
          </w:p>
          <w:p w:rsidR="00884366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949FA">
              <w:rPr>
                <w:rFonts w:asciiTheme="minorHAnsi" w:hAnsiTheme="minorHAnsi" w:cstheme="minorHAnsi"/>
                <w:sz w:val="22"/>
                <w:szCs w:val="22"/>
              </w:rPr>
              <w:t>moduł pomiaru kapnografii x 1 szt.</w:t>
            </w:r>
          </w:p>
          <w:p w:rsidR="00884366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zestaw min. 30 sztuk adapterów do pomiaru CO2 u pacjentów zaintubowanych</w:t>
            </w:r>
          </w:p>
          <w:p w:rsidR="00884366" w:rsidRPr="008D362F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zestaw min. 30 sztuk adapterów do pomiaru CO2 u pacjentów niezaintubowanych w strumieniu głównym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9A446C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844C48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44C48" w:rsidTr="00884366">
        <w:trPr>
          <w:cantSplit/>
        </w:trPr>
        <w:tc>
          <w:tcPr>
            <w:tcW w:w="284" w:type="pct"/>
            <w:shd w:val="clear" w:color="auto" w:fill="auto"/>
            <w:vAlign w:val="center"/>
          </w:tcPr>
          <w:p w:rsidR="00884366" w:rsidRPr="006D383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shd w:val="clear" w:color="auto" w:fill="auto"/>
          </w:tcPr>
          <w:p w:rsidR="00884366" w:rsidRPr="001B0270" w:rsidRDefault="00884366" w:rsidP="00884366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769C0">
              <w:rPr>
                <w:rFonts w:asciiTheme="minorHAnsi" w:hAnsiTheme="minorHAnsi"/>
                <w:b/>
                <w:sz w:val="22"/>
                <w:szCs w:val="22"/>
              </w:rPr>
              <w:t>Centrala systemu monitorowania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– 1 szt.</w:t>
            </w:r>
          </w:p>
        </w:tc>
        <w:tc>
          <w:tcPr>
            <w:tcW w:w="859" w:type="pct"/>
            <w:gridSpan w:val="3"/>
            <w:shd w:val="clear" w:color="auto" w:fill="auto"/>
            <w:vAlign w:val="center"/>
          </w:tcPr>
          <w:p w:rsidR="00884366" w:rsidRPr="009A446C" w:rsidRDefault="00884366" w:rsidP="00884366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</w:tcPr>
          <w:p w:rsidR="00884366" w:rsidRPr="006D3838" w:rsidRDefault="00884366" w:rsidP="00884366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884366" w:rsidRPr="00844C48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1A6484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Centrala przygotowana do monitorowania, min. 16 stanowisk pacjenta. 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1A6484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1A6484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1A6484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rozbudowy centrali do obsługi 48 stanowisk.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1A6484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1A6484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1A6484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Poniżej opisana współpraca możliwa ze wszystkimi monitorami oferowanymi w systemie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1A6484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1A6484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1A6484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Wyświetlanie i sterowanie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1A6484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Centrala wyposażona w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kolorowy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ekran, min. 23”. Rozdzielczość wyświetlania min. 1920x1080.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Wyświetlanie min. 8 stanowisk/monitor Ilość jednocześnie wyświetlanych przebiegów dynamicznych (krzywych) z jednego stanowiska: min. 3 krzywe (dla 8 stanowisk na ekranie).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Komunikacja z użytkownikiem poprzez mysz i klawiaturę – oprogramowanie w języku polskim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Podgląd dowolnego pełnego ekranu monitora z sieci.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dokonania zmiany koloru wyświetlania poszczególnych parametrów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„zamrażania” wyświetlanych krzywych. Nie dotyczy danych numerycznych, które są cały czas aktualizowane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wybrania typu wyświetlanej krzywej, jej wzmocnienia oraz danych numerycznych niezależnie dla każdego monitorowanego łóżka wyświetlanego w oknie ogólnego przeglądu pacjentów oddziału.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umożliwiająca ustawienie wspólnej lub oddzielnej skali dla krzywych ciśnienia inwazyjnego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umożliwiającą użytkownikowi definiowanie priorytetu wyświetlania parametrów życiowych.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149F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Funkcja zawieszania monitorowania pacjenta wraz z możliwością nadania etykiety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z opisem przyczyny zawieszenia`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eastAsia="Lucida Sans Unicode" w:hAnsiTheme="minorHAnsi" w:cstheme="minorHAnsi"/>
                <w:sz w:val="22"/>
                <w:szCs w:val="22"/>
              </w:rPr>
              <w:br/>
              <w:t>PODAĆ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Spełnienie wymagań – 0 pkt.</w:t>
            </w:r>
          </w:p>
          <w:p w:rsidR="00884366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</w:p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M</w:t>
            </w:r>
            <w:r w:rsidRPr="006149F2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ożliwość edycji etykiet</w:t>
            </w:r>
            <w:r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przyczyny zawieszenia – 10 pkt.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Alarm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Identyfikacja łóżka, na którym wystąpił alarm na ekranie centrali.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Wielostopniowe alarmy monitorowanych parametrów, min. 3 stopnie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zawieszenia monitorowania pacjenta wraz z możliwością nadania etykiety z opisem przyczyny zawieszenia (użytkownik ma możliwość edycji treści etykiet).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Historia alarmów, min. 400 na pacjenta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Zapamiętanie danych i analiza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Trendy graficzne i tabelaryczne z min. 110 [h]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Archiwizacja zapisu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„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holterowskiego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”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min. 6 krzywych dynamicznych z min 110 godzin każdego monitorowanego stanowiska.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Pamięć min. 300 zdarzeń arytmii dla każdego łóżka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(pamięć zdarzeń arytmii jest niezależna od pamięci pozostałych alarmów)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pozwalająca użytkownikowi na zdefiniowanie, dla których typów arytmii mają być zapisywane zdarzenia arytmii.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Wyświetlanie wyników analizy 12 </w:t>
            </w:r>
            <w:proofErr w:type="spellStart"/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odprowadzeń</w:t>
            </w:r>
            <w:proofErr w:type="spellEnd"/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EKG wraz z raportami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  <w:trHeight w:val="276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definiowania parametrów zapisywanych w min. trzech różnych trendach tabelarycznych.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Pamięć minimum 400 plików z pomiarem odcinka ST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definiowania przez użytkownika zawartości raportów przeznaczonych do wydruku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AE0CB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E0CB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wyboru interwału automatycznych wydruków raportów.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AE0CB0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AE0CB0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AE0CB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AE0CB0" w:rsidRDefault="00884366" w:rsidP="00884366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Praca w sieci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AE0CB0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AE0CB0" w:rsidRDefault="00884366" w:rsidP="00884366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Sieć monitorowania LAN do komunikacji z monitorami stacjonarnymi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Przesyłanie alarmów z monitorów przyłóżkowych do centrali oraz pomiędzy monitorami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przesyłania danych pomiędzy monitorami a centralą oraz pomiędzy monitorami również w razie wyłączenia/ awarii centrali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Interaktywna komunikacja centrali z monitorami. Możliwość regulacji granic alarmów z centrali w monitorach przyłóżkowych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ręcznego uruchomienia pomiaru NIBP w monitorze z monitora centralnego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6D3838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Inne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pacing w:val="-1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przystosowania centrali do współpracy z nadajnikami telemetrycznymi.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Drukarka laserowa format A4. Wydruki danych cyfrowych oraz krzywych dynamicznych z centrali. Wydruki z monitorów przyłóżkowych - stanów alarmowych oraz na życzenie użytkownika. Wydruki z monitorów przyłóżkowych zapewnione w razie uszkodzenia monitora centralnego.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9A098D" w:rsidTr="00884366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numPr>
                <w:ilvl w:val="0"/>
                <w:numId w:val="1"/>
              </w:numPr>
              <w:spacing w:before="40" w:afterLines="40" w:after="96" w:line="240" w:lineRule="auto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3769C0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Zasilacz UPS do podtrzymania pracy centrali.</w:t>
            </w:r>
          </w:p>
        </w:tc>
        <w:tc>
          <w:tcPr>
            <w:tcW w:w="8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6D3838" w:rsidRDefault="00884366" w:rsidP="00884366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asciiTheme="minorHAnsi" w:eastAsia="Lucida Sans Unicode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366" w:rsidRPr="006D3838" w:rsidRDefault="00884366" w:rsidP="00884366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366" w:rsidRPr="009A098D" w:rsidRDefault="00884366" w:rsidP="0088436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9A098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884366" w:rsidRPr="00884366" w:rsidTr="008843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1" w:type="dxa"/>
            <w:right w:w="71" w:type="dxa"/>
          </w:tblCellMar>
        </w:tblPrEx>
        <w:tc>
          <w:tcPr>
            <w:tcW w:w="312" w:type="pct"/>
            <w:gridSpan w:val="2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ind w:left="360"/>
              <w:rPr>
                <w:rFonts w:ascii="Candara" w:eastAsiaTheme="minorHAnsi" w:hAnsi="Candara" w:cstheme="minorBidi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22" w:type="pct"/>
            <w:gridSpan w:val="2"/>
            <w:shd w:val="clear" w:color="auto" w:fill="auto"/>
            <w:vAlign w:val="center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b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="Candara" w:eastAsiaTheme="minorHAnsi" w:hAnsi="Candara" w:cstheme="minorBidi"/>
                <w:b/>
                <w:kern w:val="0"/>
                <w:sz w:val="22"/>
                <w:szCs w:val="22"/>
                <w:lang w:eastAsia="en-US"/>
              </w:rPr>
              <w:t>Gwarancja i serwis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gridSpan w:val="2"/>
            <w:shd w:val="clear" w:color="auto" w:fill="auto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b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859" w:type="pct"/>
            <w:gridSpan w:val="2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b/>
                <w:kern w:val="0"/>
                <w:sz w:val="22"/>
                <w:szCs w:val="22"/>
                <w:lang w:eastAsia="en-US"/>
              </w:rPr>
            </w:pPr>
          </w:p>
        </w:tc>
      </w:tr>
      <w:tr w:rsidR="00884366" w:rsidRPr="00884366" w:rsidTr="008843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1" w:type="dxa"/>
            <w:right w:w="71" w:type="dxa"/>
          </w:tblCellMar>
        </w:tblPrEx>
        <w:tc>
          <w:tcPr>
            <w:tcW w:w="312" w:type="pct"/>
            <w:gridSpan w:val="2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118.</w:t>
            </w:r>
          </w:p>
        </w:tc>
        <w:tc>
          <w:tcPr>
            <w:tcW w:w="2422" w:type="pct"/>
            <w:gridSpan w:val="2"/>
            <w:shd w:val="clear" w:color="auto" w:fill="auto"/>
            <w:vAlign w:val="center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Gwarancja na   (min. 24 miesiące)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TAK, podać</w:t>
            </w:r>
          </w:p>
        </w:tc>
        <w:tc>
          <w:tcPr>
            <w:tcW w:w="781" w:type="pct"/>
            <w:gridSpan w:val="2"/>
            <w:shd w:val="clear" w:color="auto" w:fill="auto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859" w:type="pct"/>
            <w:gridSpan w:val="2"/>
          </w:tcPr>
          <w:p w:rsidR="00884366" w:rsidRPr="00884366" w:rsidRDefault="00884366" w:rsidP="00884366">
            <w:pPr>
              <w:suppressAutoHyphens w:val="0"/>
              <w:snapToGrid w:val="0"/>
              <w:spacing w:line="240" w:lineRule="auto"/>
              <w:rPr>
                <w:rFonts w:asciiTheme="minorHAnsi" w:eastAsiaTheme="minorHAnsi" w:hAnsiTheme="minorHAnsi" w:cstheme="minorHAnsi"/>
                <w:spacing w:val="-1"/>
                <w:kern w:val="0"/>
                <w:sz w:val="18"/>
                <w:szCs w:val="18"/>
                <w:lang w:eastAsia="en-US"/>
              </w:rPr>
            </w:pPr>
            <w:r w:rsidRPr="00884366">
              <w:rPr>
                <w:rFonts w:asciiTheme="minorHAnsi" w:eastAsiaTheme="minorHAnsi" w:hAnsiTheme="minorHAnsi" w:cstheme="minorHAnsi"/>
                <w:spacing w:val="-1"/>
                <w:kern w:val="0"/>
                <w:sz w:val="18"/>
                <w:szCs w:val="18"/>
                <w:lang w:eastAsia="en-US"/>
              </w:rPr>
              <w:t>36 m-</w:t>
            </w:r>
            <w:proofErr w:type="spellStart"/>
            <w:r w:rsidRPr="00884366">
              <w:rPr>
                <w:rFonts w:asciiTheme="minorHAnsi" w:eastAsiaTheme="minorHAnsi" w:hAnsiTheme="minorHAnsi" w:cstheme="minorHAnsi"/>
                <w:spacing w:val="-1"/>
                <w:kern w:val="0"/>
                <w:sz w:val="18"/>
                <w:szCs w:val="18"/>
                <w:lang w:eastAsia="en-US"/>
              </w:rPr>
              <w:t>cy</w:t>
            </w:r>
            <w:proofErr w:type="spellEnd"/>
            <w:r w:rsidRPr="00884366">
              <w:rPr>
                <w:rFonts w:asciiTheme="minorHAnsi" w:eastAsiaTheme="minorHAnsi" w:hAnsiTheme="minorHAnsi" w:cstheme="minorHAnsi"/>
                <w:spacing w:val="-1"/>
                <w:kern w:val="0"/>
                <w:sz w:val="18"/>
                <w:szCs w:val="18"/>
                <w:lang w:eastAsia="en-US"/>
              </w:rPr>
              <w:t xml:space="preserve">  -10 pkt </w:t>
            </w:r>
          </w:p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="Candara" w:eastAsiaTheme="minorHAnsi" w:hAnsi="Candara" w:cstheme="minorBidi"/>
                <w:kern w:val="0"/>
                <w:sz w:val="18"/>
                <w:szCs w:val="18"/>
                <w:lang w:eastAsia="en-US"/>
              </w:rPr>
              <w:t>24 m-ce  - 0 pkt</w:t>
            </w:r>
          </w:p>
        </w:tc>
      </w:tr>
      <w:tr w:rsidR="00884366" w:rsidRPr="00884366" w:rsidTr="008843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1" w:type="dxa"/>
            <w:right w:w="71" w:type="dxa"/>
          </w:tblCellMar>
        </w:tblPrEx>
        <w:tc>
          <w:tcPr>
            <w:tcW w:w="312" w:type="pct"/>
            <w:gridSpan w:val="2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119</w:t>
            </w:r>
            <w:r w:rsidRPr="00884366"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22" w:type="pct"/>
            <w:gridSpan w:val="2"/>
            <w:shd w:val="clear" w:color="auto" w:fill="auto"/>
            <w:vAlign w:val="center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 xml:space="preserve">Instalacja sprzętu przez autoryzowany serwis producenta (autoryzowany serwis gwarancyjny i pogwarancyjny). 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781" w:type="pct"/>
            <w:gridSpan w:val="2"/>
            <w:shd w:val="clear" w:color="auto" w:fill="auto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859" w:type="pct"/>
            <w:gridSpan w:val="2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Theme="minorHAnsi" w:eastAsiaTheme="minorHAnsi" w:hAnsiTheme="minorHAnsi" w:cstheme="minorHAnsi"/>
                <w:spacing w:val="-1"/>
                <w:kern w:val="0"/>
                <w:sz w:val="18"/>
                <w:szCs w:val="18"/>
                <w:lang w:eastAsia="en-US"/>
              </w:rPr>
              <w:t>Bez punktacji</w:t>
            </w:r>
          </w:p>
        </w:tc>
      </w:tr>
      <w:tr w:rsidR="00884366" w:rsidRPr="00884366" w:rsidTr="008843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1" w:type="dxa"/>
            <w:right w:w="71" w:type="dxa"/>
          </w:tblCellMar>
        </w:tblPrEx>
        <w:tc>
          <w:tcPr>
            <w:tcW w:w="312" w:type="pct"/>
            <w:gridSpan w:val="2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120</w:t>
            </w:r>
            <w:r w:rsidRPr="00884366"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22" w:type="pct"/>
            <w:gridSpan w:val="2"/>
            <w:shd w:val="clear" w:color="auto" w:fill="auto"/>
            <w:vAlign w:val="center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Szkolenie personelu medycznego w zakresie eksploatacji i obsługi sprzętu w  miejscu instalacji.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781" w:type="pct"/>
            <w:gridSpan w:val="2"/>
            <w:shd w:val="clear" w:color="auto" w:fill="auto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859" w:type="pct"/>
            <w:gridSpan w:val="2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Theme="minorHAnsi" w:eastAsiaTheme="minorHAnsi" w:hAnsiTheme="minorHAnsi" w:cstheme="minorHAnsi"/>
                <w:spacing w:val="-1"/>
                <w:kern w:val="0"/>
                <w:sz w:val="18"/>
                <w:szCs w:val="18"/>
                <w:lang w:eastAsia="en-US"/>
              </w:rPr>
              <w:t>Bez punktacji</w:t>
            </w:r>
          </w:p>
        </w:tc>
      </w:tr>
      <w:tr w:rsidR="00884366" w:rsidRPr="00884366" w:rsidTr="008843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1" w:type="dxa"/>
            <w:right w:w="71" w:type="dxa"/>
          </w:tblCellMar>
        </w:tblPrEx>
        <w:trPr>
          <w:trHeight w:val="858"/>
        </w:trPr>
        <w:tc>
          <w:tcPr>
            <w:tcW w:w="312" w:type="pct"/>
            <w:gridSpan w:val="2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121</w:t>
            </w:r>
            <w:r w:rsidRPr="00884366"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22" w:type="pct"/>
            <w:gridSpan w:val="2"/>
            <w:shd w:val="clear" w:color="auto" w:fill="auto"/>
            <w:vAlign w:val="center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Certyfikat CE na sprzęt (dokumenty dostarczyć wraz ze sprzętem)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781" w:type="pct"/>
            <w:gridSpan w:val="2"/>
            <w:shd w:val="clear" w:color="auto" w:fill="auto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859" w:type="pct"/>
            <w:gridSpan w:val="2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Theme="minorHAnsi" w:eastAsiaTheme="minorHAnsi" w:hAnsiTheme="minorHAnsi" w:cstheme="minorHAnsi"/>
                <w:spacing w:val="-1"/>
                <w:kern w:val="0"/>
                <w:sz w:val="18"/>
                <w:szCs w:val="18"/>
                <w:lang w:eastAsia="en-US"/>
              </w:rPr>
              <w:t>Bez punktacji</w:t>
            </w:r>
          </w:p>
        </w:tc>
      </w:tr>
      <w:tr w:rsidR="00884366" w:rsidRPr="00884366" w:rsidTr="008843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1" w:type="dxa"/>
            <w:right w:w="71" w:type="dxa"/>
          </w:tblCellMar>
        </w:tblPrEx>
        <w:tc>
          <w:tcPr>
            <w:tcW w:w="312" w:type="pct"/>
            <w:gridSpan w:val="2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122</w:t>
            </w:r>
            <w:r w:rsidRPr="00884366"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22" w:type="pct"/>
            <w:gridSpan w:val="2"/>
            <w:shd w:val="clear" w:color="auto" w:fill="auto"/>
            <w:vAlign w:val="center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Autoryzacja producenta na serwis i sprzedaż zaoferowanego sprzętu  na terenie Polski (dokumenty dostarczyć wraz ze sprzętem)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781" w:type="pct"/>
            <w:gridSpan w:val="2"/>
            <w:shd w:val="clear" w:color="auto" w:fill="auto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859" w:type="pct"/>
            <w:gridSpan w:val="2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Theme="minorHAnsi" w:eastAsiaTheme="minorHAnsi" w:hAnsiTheme="minorHAnsi" w:cstheme="minorHAnsi"/>
                <w:spacing w:val="-1"/>
                <w:kern w:val="0"/>
                <w:sz w:val="18"/>
                <w:szCs w:val="18"/>
                <w:lang w:eastAsia="en-US"/>
              </w:rPr>
              <w:t>Bez punktacji</w:t>
            </w:r>
          </w:p>
        </w:tc>
      </w:tr>
      <w:tr w:rsidR="00884366" w:rsidRPr="00884366" w:rsidTr="0088436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1" w:type="dxa"/>
            <w:right w:w="71" w:type="dxa"/>
          </w:tblCellMar>
        </w:tblPrEx>
        <w:tc>
          <w:tcPr>
            <w:tcW w:w="312" w:type="pct"/>
            <w:gridSpan w:val="2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123.</w:t>
            </w:r>
          </w:p>
        </w:tc>
        <w:tc>
          <w:tcPr>
            <w:tcW w:w="2422" w:type="pct"/>
            <w:gridSpan w:val="2"/>
            <w:shd w:val="clear" w:color="auto" w:fill="auto"/>
            <w:vAlign w:val="center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Instrukcja obsługi w języku polskim (dostarczyć wraz ze sprzętem )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781" w:type="pct"/>
            <w:gridSpan w:val="2"/>
            <w:shd w:val="clear" w:color="auto" w:fill="auto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859" w:type="pct"/>
            <w:gridSpan w:val="2"/>
          </w:tcPr>
          <w:p w:rsidR="00884366" w:rsidRPr="00884366" w:rsidRDefault="00884366" w:rsidP="00884366">
            <w:pPr>
              <w:suppressAutoHyphens w:val="0"/>
              <w:snapToGrid w:val="0"/>
              <w:spacing w:after="160" w:line="259" w:lineRule="auto"/>
              <w:rPr>
                <w:rFonts w:ascii="Candara" w:eastAsiaTheme="minorHAnsi" w:hAnsi="Candara" w:cstheme="minorBidi"/>
                <w:kern w:val="0"/>
                <w:sz w:val="22"/>
                <w:szCs w:val="22"/>
                <w:lang w:eastAsia="en-US"/>
              </w:rPr>
            </w:pPr>
            <w:r w:rsidRPr="00884366">
              <w:rPr>
                <w:rFonts w:asciiTheme="minorHAnsi" w:eastAsiaTheme="minorHAnsi" w:hAnsiTheme="minorHAnsi" w:cstheme="minorHAnsi"/>
                <w:spacing w:val="-1"/>
                <w:kern w:val="0"/>
                <w:sz w:val="18"/>
                <w:szCs w:val="18"/>
                <w:lang w:eastAsia="en-US"/>
              </w:rPr>
              <w:t>Bez punktacji</w:t>
            </w:r>
          </w:p>
        </w:tc>
      </w:tr>
    </w:tbl>
    <w:p w:rsidR="00884366" w:rsidRPr="00884366" w:rsidRDefault="00884366" w:rsidP="00884366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</w:pPr>
    </w:p>
    <w:p w:rsidR="00884366" w:rsidRPr="00884366" w:rsidRDefault="00884366" w:rsidP="00884366">
      <w:pPr>
        <w:suppressAutoHyphens w:val="0"/>
        <w:spacing w:after="160" w:line="259" w:lineRule="auto"/>
        <w:jc w:val="both"/>
        <w:rPr>
          <w:rFonts w:ascii="Candara" w:eastAsiaTheme="minorHAnsi" w:hAnsi="Candara" w:cstheme="minorBidi"/>
          <w:kern w:val="0"/>
          <w:sz w:val="22"/>
          <w:szCs w:val="22"/>
          <w:lang w:eastAsia="en-US"/>
        </w:rPr>
      </w:pPr>
      <w:r w:rsidRPr="00884366">
        <w:rPr>
          <w:rFonts w:ascii="Candara" w:eastAsiaTheme="minorHAnsi" w:hAnsi="Candara" w:cstheme="minorBidi"/>
          <w:kern w:val="0"/>
          <w:sz w:val="22"/>
          <w:szCs w:val="22"/>
          <w:lang w:eastAsia="en-US"/>
        </w:rPr>
        <w:t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materiały opisowe pochodzące od producenta należy załączyć w oryginale lub jako kserokopie poświadczone za zgodność z oryginałem.</w:t>
      </w:r>
    </w:p>
    <w:p w:rsidR="00884366" w:rsidRPr="00884366" w:rsidRDefault="00884366" w:rsidP="00884366">
      <w:pPr>
        <w:suppressAutoHyphens w:val="0"/>
        <w:spacing w:after="160" w:line="259" w:lineRule="auto"/>
        <w:jc w:val="both"/>
        <w:rPr>
          <w:rFonts w:ascii="Candara" w:eastAsiaTheme="minorHAnsi" w:hAnsi="Candara" w:cstheme="minorBidi"/>
          <w:kern w:val="0"/>
          <w:sz w:val="22"/>
          <w:szCs w:val="22"/>
          <w:lang w:eastAsia="en-US"/>
        </w:rPr>
      </w:pPr>
      <w:r w:rsidRPr="00884366">
        <w:rPr>
          <w:rFonts w:ascii="Candara" w:eastAsiaTheme="minorHAnsi" w:hAnsi="Candara" w:cstheme="minorBidi"/>
          <w:kern w:val="0"/>
          <w:sz w:val="22"/>
          <w:szCs w:val="22"/>
          <w:lang w:eastAsia="en-US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884366" w:rsidRPr="00884366" w:rsidRDefault="00884366" w:rsidP="00884366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</w:pPr>
    </w:p>
    <w:p w:rsidR="00884366" w:rsidRPr="00884366" w:rsidRDefault="00884366" w:rsidP="00884366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</w:pPr>
    </w:p>
    <w:p w:rsidR="00884366" w:rsidRPr="00884366" w:rsidRDefault="00884366" w:rsidP="00884366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</w:pPr>
    </w:p>
    <w:p w:rsidR="00F324DD" w:rsidRDefault="00F324DD"/>
    <w:sectPr w:rsidR="00F32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A4252"/>
    <w:multiLevelType w:val="hybridMultilevel"/>
    <w:tmpl w:val="250EE498"/>
    <w:lvl w:ilvl="0" w:tplc="275EC9E8">
      <w:start w:val="1"/>
      <w:numFmt w:val="decimal"/>
      <w:lvlText w:val="%1."/>
      <w:lvlJc w:val="righ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4DD"/>
    <w:rsid w:val="00884366"/>
    <w:rsid w:val="009D7D7E"/>
    <w:rsid w:val="00F3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FECE1-72FD-4F4C-889D-94835C399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24DD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F324DD"/>
    <w:rPr>
      <w:b/>
      <w:bCs/>
      <w:color w:val="FF0000"/>
      <w:sz w:val="24"/>
      <w:szCs w:val="24"/>
    </w:rPr>
  </w:style>
  <w:style w:type="paragraph" w:customStyle="1" w:styleId="NormalnyWeb1">
    <w:name w:val="Normalny (Web)1"/>
    <w:basedOn w:val="Normalny"/>
    <w:rsid w:val="00F324DD"/>
    <w:pPr>
      <w:widowControl w:val="0"/>
      <w:spacing w:before="280" w:after="280"/>
    </w:pPr>
    <w:rPr>
      <w:rFonts w:eastAsia="Lucida Sans Unicode"/>
      <w:sz w:val="24"/>
      <w:szCs w:val="24"/>
    </w:rPr>
  </w:style>
  <w:style w:type="character" w:customStyle="1" w:styleId="WW8Num1z2">
    <w:name w:val="WW8Num1z2"/>
    <w:rsid w:val="00F324DD"/>
  </w:style>
  <w:style w:type="character" w:styleId="Odwoaniedokomentarza">
    <w:name w:val="annotation reference"/>
    <w:basedOn w:val="Domylnaczcionkaakapitu"/>
    <w:uiPriority w:val="99"/>
    <w:semiHidden/>
    <w:unhideWhenUsed/>
    <w:rsid w:val="00F324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24D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24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24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24DD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4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4DD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2659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2018-11-05T12:39:00Z</cp:lastPrinted>
  <dcterms:created xsi:type="dcterms:W3CDTF">2018-11-05T12:13:00Z</dcterms:created>
  <dcterms:modified xsi:type="dcterms:W3CDTF">2018-11-05T12:39:00Z</dcterms:modified>
</cp:coreProperties>
</file>