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20587" w:rsidRDefault="007A0E19">
      <w:pPr>
        <w:spacing w:after="75"/>
        <w:ind w:left="1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20587" w:rsidRDefault="0082629C">
      <w:pPr>
        <w:spacing w:after="34"/>
        <w:ind w:left="2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Załącznik nr 2 </w:t>
      </w:r>
    </w:p>
    <w:p w:rsidR="0082629C" w:rsidRDefault="0082629C" w:rsidP="0082629C">
      <w:pPr>
        <w:spacing w:after="34"/>
        <w:ind w:left="242"/>
      </w:pPr>
      <w:r>
        <w:rPr>
          <w:rFonts w:ascii="Times New Roman" w:eastAsia="Times New Roman" w:hAnsi="Times New Roman" w:cs="Times New Roman"/>
          <w:b/>
          <w:sz w:val="28"/>
        </w:rPr>
        <w:t>Pakiet 2</w:t>
      </w:r>
    </w:p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b/>
          <w:sz w:val="24"/>
        </w:rPr>
        <w:t xml:space="preserve"> Aparat do wykonywania ciągłych terapii nerkozastępczych </w:t>
      </w:r>
    </w:p>
    <w:p w:rsidR="00720587" w:rsidRDefault="007A0E19">
      <w:pPr>
        <w:spacing w:after="16"/>
        <w:ind w:left="18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2629C" w:rsidRDefault="007A0E19">
      <w:pPr>
        <w:spacing w:after="0" w:line="236" w:lineRule="auto"/>
        <w:ind w:left="182" w:right="439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Producent urządzenia:    </w:t>
      </w:r>
    </w:p>
    <w:p w:rsidR="00720587" w:rsidRDefault="007A0E19">
      <w:pPr>
        <w:spacing w:after="0" w:line="236" w:lineRule="auto"/>
        <w:ind w:left="182" w:right="4398"/>
      </w:pPr>
      <w:r>
        <w:rPr>
          <w:rFonts w:ascii="Times New Roman" w:eastAsia="Times New Roman" w:hAnsi="Times New Roman" w:cs="Times New Roman"/>
          <w:sz w:val="24"/>
        </w:rPr>
        <w:t xml:space="preserve">Oferowany model:    </w:t>
      </w:r>
    </w:p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137" w:type="dxa"/>
        <w:tblInd w:w="72" w:type="dxa"/>
        <w:tblCellMar>
          <w:top w:w="5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865"/>
        <w:gridCol w:w="5154"/>
        <w:gridCol w:w="1559"/>
        <w:gridCol w:w="1559"/>
      </w:tblGrid>
      <w:tr w:rsidR="0082629C" w:rsidTr="0082629C">
        <w:trPr>
          <w:trHeight w:val="51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L.p.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Parametry urządzenia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Parametr wymagany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Parametr oferowany </w:t>
            </w: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Rok produkcji – 2018. Urządzenie fabrycznie nowe.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Możliwość wykonania zabiegu ciągłej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żylno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żylnej filtracji (</w:t>
            </w:r>
            <w:r>
              <w:rPr>
                <w:rFonts w:ascii="Times New Roman" w:eastAsia="Times New Roman" w:hAnsi="Times New Roman" w:cs="Times New Roman"/>
                <w:b/>
              </w:rPr>
              <w:t>CVVH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773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17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Możliwość wykonywania zabiegu wysokoobjętościowej ciągłej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żylno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żylnej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hemofiltracji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HV – CVVH). </w:t>
            </w:r>
            <w:r>
              <w:rPr>
                <w:rFonts w:ascii="Times New Roman" w:eastAsia="Times New Roman" w:hAnsi="Times New Roman" w:cs="Times New Roman"/>
              </w:rPr>
              <w:t xml:space="preserve">Substytucja podawana jednocześnie przed i po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hemofiltrze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Możliwość wykonania zabiegu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żylno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żylnej hemodializy (</w:t>
            </w:r>
            <w:r>
              <w:rPr>
                <w:rFonts w:ascii="Times New Roman" w:eastAsia="Times New Roman" w:hAnsi="Times New Roman" w:cs="Times New Roman"/>
                <w:b/>
              </w:rPr>
              <w:t>CVVHD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Możliwość wykonania zabiegu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żylno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żylnej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hemodiafiltracji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</w:rPr>
              <w:t>CVVHDF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>Możliwość wykonania zabiegu powolnej ciągłej ultrafiltracji (</w:t>
            </w:r>
            <w:r>
              <w:rPr>
                <w:rFonts w:ascii="Times New Roman" w:eastAsia="Times New Roman" w:hAnsi="Times New Roman" w:cs="Times New Roman"/>
                <w:b/>
              </w:rPr>
              <w:t>SCUF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>Możliwość wykonania zabiegu plazmaferezy (</w:t>
            </w:r>
            <w:r>
              <w:rPr>
                <w:rFonts w:ascii="Times New Roman" w:eastAsia="Times New Roman" w:hAnsi="Times New Roman" w:cs="Times New Roman"/>
                <w:b/>
              </w:rPr>
              <w:t>PF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>Możliwość wykonania zabiegu hemoperfuzji (</w:t>
            </w:r>
            <w:r>
              <w:rPr>
                <w:rFonts w:ascii="Times New Roman" w:eastAsia="Times New Roman" w:hAnsi="Times New Roman" w:cs="Times New Roman"/>
                <w:b/>
              </w:rPr>
              <w:t>HP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9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Graficzny kolorowy podgląd istotnych stanów pracy urządzenia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Bateria, która w przypadku braku zasilania sieciowego, zapewni pracę aparatu przez co najmniej 15 min.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TAK, podać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Regulowana ultrafiltracja 0 – 30 ml/min.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Przepływ płynu substytucyjnego od 10 – 160 ml/min.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Przepływ dializatu od 10 – 70 ml/min.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Dwa indywidualne systemy do podgrzewania płynu substytucyjnego i dializatu z możliwością wyłączenia w trakcie zabiegu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185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Możliwość regulacji temperatury w zakresie  35 – 39 ºC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9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Regulacja przepływu pompy krwi od 10 – 500 ml/min.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76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17.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58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Kasetowy system drenów umożliwiający łatwy i szybki montaż oraz wielokrotną wymianę samego filtra w trakcie zabiegu, bez konieczności wymiany całej kasety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18.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System bilansujący: cztery niezależne wagi do płynów dializacyjnych, substytucyjnych, osocza,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ultrafiltratu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itp.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Dokładność ważenia – 1 g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Najwyższy stopień ochrony przeciwporażeniowej (</w:t>
            </w:r>
            <w:r>
              <w:rPr>
                <w:rFonts w:ascii="Times New Roman" w:eastAsia="Times New Roman" w:hAnsi="Times New Roman" w:cs="Times New Roman"/>
                <w:b/>
              </w:rPr>
              <w:t>CF</w:t>
            </w:r>
            <w:r>
              <w:rPr>
                <w:rFonts w:ascii="Times New Roman" w:eastAsia="Times New Roman" w:hAnsi="Times New Roman" w:cs="Times New Roman"/>
              </w:rPr>
              <w:t xml:space="preserve">) umożliwiający bezpieczną defibrylację pacjenta podczas zabiegu.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4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21.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Cztery pompy umożliwiające przepływ krwi, płynu dializacyjnego, substytucyjnego,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ultrafiltratu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lub osocza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22. </w:t>
            </w:r>
          </w:p>
          <w:p w:rsidR="0082629C" w:rsidRDefault="0082629C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Moduł cytrynian – wapń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20587" w:rsidRDefault="00720587">
      <w:pPr>
        <w:tabs>
          <w:tab w:val="right" w:pos="9258"/>
        </w:tabs>
        <w:spacing w:after="38"/>
        <w:ind w:right="-15"/>
      </w:pPr>
    </w:p>
    <w:tbl>
      <w:tblPr>
        <w:tblStyle w:val="TableGrid"/>
        <w:tblW w:w="9137" w:type="dxa"/>
        <w:tblInd w:w="72" w:type="dxa"/>
        <w:tblCellMar>
          <w:top w:w="10" w:type="dxa"/>
          <w:left w:w="110" w:type="dxa"/>
          <w:right w:w="242" w:type="dxa"/>
        </w:tblCellMar>
        <w:tblLook w:val="04A0" w:firstRow="1" w:lastRow="0" w:firstColumn="1" w:lastColumn="0" w:noHBand="0" w:noVBand="1"/>
      </w:tblPr>
      <w:tblGrid>
        <w:gridCol w:w="865"/>
        <w:gridCol w:w="5154"/>
        <w:gridCol w:w="1559"/>
        <w:gridCol w:w="1559"/>
      </w:tblGrid>
      <w:tr w:rsidR="0082629C" w:rsidTr="0082629C">
        <w:trPr>
          <w:trHeight w:val="51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left="1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>Ciągła hemodializa/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hemodiafiltracja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regionalną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antykoagulacją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cytrynianową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51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left="1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24.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Możliwość jednoczesnego prowadzenia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antykoagulacji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cytrynianowej i heparynowej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76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29C" w:rsidRDefault="0082629C">
            <w:pPr>
              <w:ind w:left="1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25.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Możliwość zmiany bezpośredniej rodzaju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antykoagulacji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cytrynianowej na heparynową w trakcje zabiegu bez konieczności wymiany zestawu drenów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26.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Detektor przecieku krwi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27.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Odpowietrzanie drenów substytutu, dializatu, krwi - niezależnie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3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28.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Dwa niezależne detektory powietrza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44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29.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Dwie niezależne pułapki powietrza (za i przed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hemofiltrem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629C" w:rsidTr="0082629C">
        <w:trPr>
          <w:trHeight w:val="44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30. 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r>
              <w:rPr>
                <w:rFonts w:ascii="Times New Roman" w:eastAsia="Times New Roman" w:hAnsi="Times New Roman" w:cs="Times New Roman"/>
              </w:rPr>
              <w:t xml:space="preserve">Oprogramowanie i komunikacja w języku polskim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TAK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9C" w:rsidRDefault="0082629C">
            <w:pPr>
              <w:ind w:left="1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629C" w:rsidRDefault="007A0E1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W w:w="89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5103"/>
        <w:gridCol w:w="1559"/>
        <w:gridCol w:w="1417"/>
      </w:tblGrid>
      <w:tr w:rsidR="0082629C" w:rsidRPr="00B52979" w:rsidTr="0082629C">
        <w:tc>
          <w:tcPr>
            <w:tcW w:w="851" w:type="dxa"/>
          </w:tcPr>
          <w:p w:rsidR="0082629C" w:rsidRPr="00B52979" w:rsidRDefault="0082629C" w:rsidP="00496A7F">
            <w:pPr>
              <w:snapToGrid w:val="0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  <w:b/>
              </w:rPr>
            </w:pPr>
            <w:r w:rsidRPr="00B52979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  <w:b/>
              </w:rPr>
            </w:pPr>
          </w:p>
        </w:tc>
      </w:tr>
      <w:tr w:rsidR="0082629C" w:rsidRPr="00B52979" w:rsidTr="0082629C"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Gwarancja na   (min. 24 miesiące)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  <w:r>
              <w:rPr>
                <w:rFonts w:ascii="Candara" w:hAnsi="Candara"/>
              </w:rPr>
              <w:t>, podać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  <w:bookmarkStart w:id="0" w:name="_GoBack"/>
            <w:bookmarkEnd w:id="0"/>
          </w:p>
        </w:tc>
      </w:tr>
      <w:tr w:rsidR="0082629C" w:rsidRPr="00B52979" w:rsidTr="0082629C"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</w:p>
        </w:tc>
      </w:tr>
      <w:tr w:rsidR="0082629C" w:rsidRPr="00B52979" w:rsidTr="0082629C"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Szkolenie personelu medycznego w zakresie eksploatacji i obsługi sprzętu w  miejscu instalacji.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</w:p>
        </w:tc>
      </w:tr>
      <w:tr w:rsidR="0082629C" w:rsidRPr="00B52979" w:rsidTr="0082629C">
        <w:trPr>
          <w:trHeight w:val="434"/>
        </w:trPr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Certyfikat CE na sprzęt (dokumenty dostarczyć wraz ze sprzętem)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</w:p>
        </w:tc>
      </w:tr>
      <w:tr w:rsidR="0082629C" w:rsidRPr="00B52979" w:rsidTr="0082629C">
        <w:trPr>
          <w:trHeight w:val="742"/>
        </w:trPr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</w:p>
        </w:tc>
      </w:tr>
      <w:tr w:rsidR="0082629C" w:rsidRPr="00B52979" w:rsidTr="0082629C">
        <w:tc>
          <w:tcPr>
            <w:tcW w:w="851" w:type="dxa"/>
          </w:tcPr>
          <w:p w:rsidR="0082629C" w:rsidRPr="0082629C" w:rsidRDefault="0082629C" w:rsidP="00496A7F">
            <w:pPr>
              <w:snapToGrid w:val="0"/>
              <w:rPr>
                <w:rFonts w:ascii="Times New Roman" w:hAnsi="Times New Roman" w:cs="Times New Roman"/>
              </w:rPr>
            </w:pPr>
            <w:r w:rsidRPr="0082629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629C" w:rsidRPr="006D0288" w:rsidRDefault="0082629C" w:rsidP="00496A7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Instrukcja obsługi w języku polskim (dostarczyć wraz ze sprzętem 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9C" w:rsidRPr="00B52979" w:rsidRDefault="0082629C" w:rsidP="0082629C">
            <w:pPr>
              <w:snapToGrid w:val="0"/>
              <w:jc w:val="center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</w:tcPr>
          <w:p w:rsidR="0082629C" w:rsidRPr="00B52979" w:rsidRDefault="0082629C" w:rsidP="00496A7F">
            <w:pPr>
              <w:snapToGrid w:val="0"/>
              <w:rPr>
                <w:rFonts w:ascii="Candara" w:hAnsi="Candara"/>
              </w:rPr>
            </w:pPr>
          </w:p>
        </w:tc>
      </w:tr>
    </w:tbl>
    <w:p w:rsidR="00720587" w:rsidRDefault="00720587">
      <w:pPr>
        <w:spacing w:after="0"/>
      </w:pP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14"/>
        <w:ind w:left="182"/>
      </w:pPr>
      <w:r>
        <w:rPr>
          <w:rFonts w:ascii="Arial" w:eastAsia="Arial" w:hAnsi="Arial" w:cs="Arial"/>
          <w:sz w:val="20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20587" w:rsidRDefault="007A0E19">
      <w:pPr>
        <w:spacing w:after="0"/>
        <w:ind w:left="18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20587" w:rsidRDefault="007A0E19">
      <w:pPr>
        <w:spacing w:after="6124"/>
        <w:ind w:left="18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20587" w:rsidRDefault="007A0E19">
      <w:pPr>
        <w:tabs>
          <w:tab w:val="center" w:pos="182"/>
          <w:tab w:val="right" w:pos="9258"/>
        </w:tabs>
        <w:spacing w:after="38"/>
        <w:ind w:right="-15"/>
      </w:pPr>
      <w:r>
        <w:lastRenderedPageBreak/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>2</w:t>
      </w:r>
    </w:p>
    <w:sectPr w:rsidR="00720587">
      <w:pgSz w:w="11904" w:h="16838"/>
      <w:pgMar w:top="1083" w:right="1412" w:bottom="712" w:left="12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87"/>
    <w:rsid w:val="00720587"/>
    <w:rsid w:val="007A0E19"/>
    <w:rsid w:val="0082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775FE-F14E-4360-8F80-3BEE0458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 – 29/07/08</vt:lpstr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Przemysław Grzyb</dc:creator>
  <cp:keywords/>
  <cp:lastModifiedBy>user</cp:lastModifiedBy>
  <cp:revision>2</cp:revision>
  <dcterms:created xsi:type="dcterms:W3CDTF">2018-11-02T12:38:00Z</dcterms:created>
  <dcterms:modified xsi:type="dcterms:W3CDTF">2018-11-02T12:38:00Z</dcterms:modified>
</cp:coreProperties>
</file>